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A35EB" w14:textId="77777777" w:rsidR="00B85031" w:rsidRDefault="00B85031">
      <w:pPr>
        <w:spacing w:after="0"/>
      </w:pPr>
    </w:p>
    <w:p w14:paraId="7A53495E" w14:textId="77777777" w:rsidR="00B85031" w:rsidRDefault="004C2540">
      <w:pPr>
        <w:spacing w:after="0" w:line="240" w:lineRule="auto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新闻</w:t>
      </w:r>
      <w:r>
        <w:rPr>
          <w:rFonts w:ascii="方正小标宋简体" w:eastAsia="方正小标宋简体" w:hAnsi="方正小标宋简体"/>
          <w:sz w:val="44"/>
          <w:szCs w:val="44"/>
        </w:rPr>
        <w:t>出版</w:t>
      </w:r>
      <w:r>
        <w:rPr>
          <w:rFonts w:ascii="方正小标宋简体" w:eastAsia="方正小标宋简体" w:hAnsi="方正小标宋简体" w:hint="eastAsia"/>
          <w:sz w:val="44"/>
          <w:szCs w:val="44"/>
        </w:rPr>
        <w:t>行业</w:t>
      </w:r>
      <w:r>
        <w:rPr>
          <w:rFonts w:ascii="方正小标宋简体" w:eastAsia="方正小标宋简体" w:hAnsi="方正小标宋简体"/>
          <w:sz w:val="44"/>
          <w:szCs w:val="44"/>
        </w:rPr>
        <w:t>标准</w:t>
      </w:r>
    </w:p>
    <w:p w14:paraId="6832828C" w14:textId="77777777" w:rsidR="00B85031" w:rsidRDefault="004C2540">
      <w:pPr>
        <w:spacing w:after="0" w:line="240" w:lineRule="auto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《出版业人工智能应用指南》</w:t>
      </w:r>
    </w:p>
    <w:p w14:paraId="74C7282C" w14:textId="77777777" w:rsidR="00B85031" w:rsidRDefault="004C2540">
      <w:pPr>
        <w:spacing w:after="0" w:line="240" w:lineRule="auto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（征求意见稿）编制说明</w:t>
      </w:r>
    </w:p>
    <w:p w14:paraId="175D0EBB" w14:textId="77777777" w:rsidR="00B85031" w:rsidRDefault="00B85031">
      <w:pPr>
        <w:spacing w:after="0"/>
      </w:pPr>
    </w:p>
    <w:p w14:paraId="680AE164" w14:textId="77777777" w:rsidR="00B85031" w:rsidRDefault="004C2540">
      <w:pPr>
        <w:pStyle w:val="a4"/>
        <w:numPr>
          <w:ilvl w:val="0"/>
          <w:numId w:val="1"/>
        </w:numPr>
        <w:spacing w:after="0" w:line="360" w:lineRule="auto"/>
        <w:ind w:left="567" w:hanging="567"/>
        <w:rPr>
          <w:rFonts w:asciiTheme="minorEastAsia" w:eastAsiaTheme="minorEastAsia" w:hAnsiTheme="minorEastAsia" w:cstheme="minorEastAsia"/>
          <w:b/>
        </w:rPr>
      </w:pPr>
      <w:r>
        <w:rPr>
          <w:rFonts w:asciiTheme="minorEastAsia" w:eastAsiaTheme="minorEastAsia" w:hAnsiTheme="minorEastAsia" w:cstheme="minorEastAsia" w:hint="eastAsia"/>
          <w:b/>
        </w:rPr>
        <w:t>工作简况</w:t>
      </w:r>
    </w:p>
    <w:p w14:paraId="0475A1C8" w14:textId="77777777" w:rsidR="00B85031" w:rsidRDefault="004C2540">
      <w:pPr>
        <w:pStyle w:val="a4"/>
        <w:numPr>
          <w:ilvl w:val="0"/>
          <w:numId w:val="2"/>
        </w:numPr>
        <w:spacing w:after="0" w:line="360" w:lineRule="auto"/>
        <w:ind w:left="851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任务来源</w:t>
      </w:r>
    </w:p>
    <w:p w14:paraId="2FCC3113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2025</w:t>
      </w:r>
      <w:r>
        <w:rPr>
          <w:rFonts w:ascii="宋体" w:hAnsi="宋体" w:cs="宋体" w:hint="eastAsia"/>
          <w:sz w:val="24"/>
        </w:rPr>
        <w:t>年</w:t>
      </w:r>
      <w:r>
        <w:rPr>
          <w:rFonts w:ascii="宋体" w:hAnsi="宋体" w:cs="宋体" w:hint="eastAsia"/>
          <w:sz w:val="24"/>
        </w:rPr>
        <w:t>7</w:t>
      </w:r>
      <w:r>
        <w:rPr>
          <w:rFonts w:ascii="宋体" w:hAnsi="宋体" w:cs="宋体" w:hint="eastAsia"/>
          <w:sz w:val="24"/>
        </w:rPr>
        <w:t>月，国家</w:t>
      </w:r>
      <w:r>
        <w:rPr>
          <w:rFonts w:ascii="宋体" w:hAnsi="宋体" w:cs="宋体"/>
          <w:sz w:val="24"/>
        </w:rPr>
        <w:t>新闻出版署批准</w:t>
      </w:r>
      <w:r>
        <w:rPr>
          <w:rFonts w:ascii="宋体" w:hAnsi="宋体" w:cs="宋体" w:hint="eastAsia"/>
          <w:sz w:val="24"/>
        </w:rPr>
        <w:t>《出版业人工智能应用指南》列入</w:t>
      </w:r>
      <w:r>
        <w:rPr>
          <w:rFonts w:ascii="宋体" w:hAnsi="宋体" w:cs="宋体"/>
          <w:sz w:val="24"/>
        </w:rPr>
        <w:t>行业标准计划</w:t>
      </w:r>
      <w:r>
        <w:rPr>
          <w:rFonts w:ascii="宋体" w:hAnsi="宋体" w:cs="宋体" w:hint="eastAsia"/>
          <w:sz w:val="24"/>
        </w:rPr>
        <w:t>，计划编号：</w:t>
      </w:r>
      <w:r>
        <w:rPr>
          <w:rFonts w:ascii="宋体" w:hAnsi="宋体" w:cs="宋体" w:hint="eastAsia"/>
          <w:sz w:val="24"/>
        </w:rPr>
        <w:t>CY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202503</w:t>
      </w:r>
      <w:r>
        <w:rPr>
          <w:rFonts w:ascii="宋体" w:hAnsi="宋体" w:cs="宋体" w:hint="eastAsia"/>
          <w:sz w:val="24"/>
        </w:rPr>
        <w:t>，归口单位</w:t>
      </w:r>
      <w:r>
        <w:rPr>
          <w:rFonts w:ascii="宋体" w:hAnsi="宋体" w:cs="宋体"/>
          <w:sz w:val="24"/>
        </w:rPr>
        <w:t>是</w:t>
      </w:r>
      <w:r>
        <w:rPr>
          <w:rFonts w:ascii="宋体" w:hAnsi="宋体" w:cs="宋体" w:hint="eastAsia"/>
          <w:sz w:val="24"/>
        </w:rPr>
        <w:t>全国新闻出版标准化技术委员会（</w:t>
      </w:r>
      <w:r>
        <w:rPr>
          <w:rFonts w:ascii="宋体" w:hAnsi="宋体" w:cs="宋体" w:hint="eastAsia"/>
          <w:sz w:val="24"/>
        </w:rPr>
        <w:t>SAC/TC527</w:t>
      </w:r>
      <w:r>
        <w:rPr>
          <w:rFonts w:ascii="宋体" w:hAnsi="宋体" w:cs="宋体" w:hint="eastAsia"/>
          <w:sz w:val="24"/>
        </w:rPr>
        <w:t>）。</w:t>
      </w:r>
    </w:p>
    <w:p w14:paraId="47838151" w14:textId="77777777" w:rsidR="00B85031" w:rsidRDefault="004C2540">
      <w:pPr>
        <w:pStyle w:val="a4"/>
        <w:numPr>
          <w:ilvl w:val="0"/>
          <w:numId w:val="2"/>
        </w:numPr>
        <w:spacing w:after="0" w:line="360" w:lineRule="auto"/>
        <w:ind w:left="851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制定背景</w:t>
      </w:r>
    </w:p>
    <w:p w14:paraId="64FD2379" w14:textId="77777777" w:rsidR="00B85031" w:rsidRDefault="004C2540">
      <w:pPr>
        <w:widowControl/>
        <w:spacing w:after="0" w:line="360" w:lineRule="auto"/>
        <w:ind w:firstLineChars="200" w:firstLine="48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“十五五”规划明确提出发展“人工智能</w:t>
      </w:r>
      <w:r>
        <w:rPr>
          <w:rFonts w:ascii="宋体" w:hAnsi="宋体" w:cs="宋体" w:hint="eastAsia"/>
          <w:sz w:val="24"/>
        </w:rPr>
        <w:t>+</w:t>
      </w:r>
      <w:r>
        <w:rPr>
          <w:rFonts w:ascii="宋体" w:hAnsi="宋体" w:cs="宋体" w:hint="eastAsia"/>
          <w:sz w:val="24"/>
        </w:rPr>
        <w:t>”和智能经济，倡导“人机协同”与“深度融合”，为出版业数字化转型指明了方向。当前，人工智能工具已全面渗透出版全流程，成为行业标配的核心生产工具，数传集团、</w:t>
      </w:r>
      <w:r>
        <w:rPr>
          <w:rFonts w:ascii="宋体" w:hAnsi="宋体" w:cs="宋体"/>
          <w:kern w:val="0"/>
          <w:sz w:val="24"/>
          <w:lang w:bidi="ar"/>
        </w:rPr>
        <w:t>中信出版集团</w:t>
      </w:r>
      <w:r>
        <w:rPr>
          <w:rFonts w:ascii="宋体" w:hAnsi="宋体" w:cs="宋体" w:hint="eastAsia"/>
          <w:sz w:val="24"/>
        </w:rPr>
        <w:t>等企业已推出覆盖选题、创作、发行全链路的专业</w:t>
      </w:r>
      <w:r>
        <w:rPr>
          <w:rFonts w:ascii="宋体" w:hAnsi="宋体" w:cs="宋体" w:hint="eastAsia"/>
          <w:sz w:val="24"/>
        </w:rPr>
        <w:t>AI</w:t>
      </w:r>
      <w:r>
        <w:rPr>
          <w:rFonts w:ascii="宋体" w:hAnsi="宋体" w:cs="宋体" w:hint="eastAsia"/>
          <w:sz w:val="24"/>
        </w:rPr>
        <w:t>产品，大幅解放了编辑生产力，推动行业向数字化智能化转型。出版业正经历从“经验驱动”到“人机协同”的范式变革，编辑核心能力被重新定义，而</w:t>
      </w:r>
      <w:r>
        <w:rPr>
          <w:rFonts w:ascii="宋体" w:hAnsi="宋体" w:cs="宋体" w:hint="eastAsia"/>
          <w:sz w:val="24"/>
        </w:rPr>
        <w:t>AI</w:t>
      </w:r>
      <w:r>
        <w:rPr>
          <w:rFonts w:ascii="宋体" w:hAnsi="宋体" w:cs="宋体" w:hint="eastAsia"/>
          <w:sz w:val="24"/>
        </w:rPr>
        <w:t>的“幻觉”、偏见与版权风险也已升级为贯穿核心流程的内生性、系统性风险。同时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  <w:lang w:bidi="ar"/>
        </w:rPr>
        <w:t>不同规模、不同业态的出版机构在</w:t>
      </w:r>
      <w:r>
        <w:rPr>
          <w:rFonts w:ascii="宋体" w:hAnsi="宋体" w:cs="宋体" w:hint="eastAsia"/>
          <w:sz w:val="24"/>
          <w:lang w:bidi="ar"/>
        </w:rPr>
        <w:t>AI</w:t>
      </w:r>
      <w:r>
        <w:rPr>
          <w:rFonts w:ascii="宋体" w:hAnsi="宋体" w:cs="宋体" w:hint="eastAsia"/>
          <w:sz w:val="24"/>
          <w:lang w:bidi="ar"/>
        </w:rPr>
        <w:t>工具选型、落地实施、风险管控上做法不一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sz w:val="24"/>
        </w:rPr>
        <w:t>运用和管理能力不足，制约了</w:t>
      </w:r>
      <w:r>
        <w:rPr>
          <w:rFonts w:ascii="宋体" w:hAnsi="宋体" w:cs="宋体" w:hint="eastAsia"/>
          <w:sz w:val="24"/>
        </w:rPr>
        <w:t>AI</w:t>
      </w:r>
      <w:r>
        <w:rPr>
          <w:rFonts w:ascii="宋体" w:hAnsi="宋体" w:cs="宋体" w:hint="eastAsia"/>
          <w:sz w:val="24"/>
        </w:rPr>
        <w:t>技术价值的规模化释放。本指南旨在弥补该领域的实践指引缺失，为出版行业提供可落地、可操作的最佳实践参考。</w:t>
      </w:r>
    </w:p>
    <w:p w14:paraId="21EBCEC2" w14:textId="77777777" w:rsidR="00B85031" w:rsidRDefault="004C2540">
      <w:pPr>
        <w:pStyle w:val="a4"/>
        <w:numPr>
          <w:ilvl w:val="0"/>
          <w:numId w:val="2"/>
        </w:numPr>
        <w:spacing w:after="0" w:line="360" w:lineRule="auto"/>
        <w:ind w:left="851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起草过程</w:t>
      </w:r>
      <w:bookmarkStart w:id="0" w:name="_GoBack"/>
      <w:bookmarkEnd w:id="0"/>
    </w:p>
    <w:p w14:paraId="6E67BE91" w14:textId="77777777" w:rsidR="00B85031" w:rsidRDefault="004C2540">
      <w:pPr>
        <w:pStyle w:val="a4"/>
        <w:numPr>
          <w:ilvl w:val="0"/>
          <w:numId w:val="3"/>
        </w:numPr>
        <w:spacing w:after="0" w:line="360" w:lineRule="auto"/>
        <w:ind w:left="555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预研阶段</w:t>
      </w:r>
    </w:p>
    <w:p w14:paraId="1D06B591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20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年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月，武汉理工数字传播工程有限公司、中国新闻出版研究院共同完成</w:t>
      </w:r>
      <w:r>
        <w:rPr>
          <w:rFonts w:ascii="宋体" w:hAnsi="宋体" w:cs="宋体"/>
          <w:sz w:val="24"/>
        </w:rPr>
        <w:t>《</w:t>
      </w:r>
      <w:r>
        <w:rPr>
          <w:rFonts w:ascii="宋体" w:hAnsi="宋体" w:cs="宋体" w:hint="eastAsia"/>
          <w:sz w:val="24"/>
        </w:rPr>
        <w:t>出版业人工智能工具应用指南</w:t>
      </w:r>
      <w:r>
        <w:rPr>
          <w:rFonts w:ascii="宋体" w:hAnsi="宋体" w:cs="宋体"/>
          <w:sz w:val="24"/>
        </w:rPr>
        <w:t>》</w:t>
      </w:r>
      <w:r>
        <w:rPr>
          <w:rFonts w:ascii="宋体" w:hAnsi="宋体" w:cs="宋体" w:hint="eastAsia"/>
          <w:sz w:val="24"/>
        </w:rPr>
        <w:t>行业标准</w:t>
      </w:r>
      <w:r>
        <w:rPr>
          <w:rFonts w:ascii="宋体" w:hAnsi="宋体" w:cs="宋体"/>
          <w:sz w:val="24"/>
        </w:rPr>
        <w:t>草案和推荐性行业标准项目建议书的编制，并上报</w:t>
      </w:r>
      <w:r>
        <w:rPr>
          <w:rFonts w:ascii="宋体" w:hAnsi="宋体" w:cs="宋体" w:hint="eastAsia"/>
          <w:sz w:val="24"/>
        </w:rPr>
        <w:t>全国新闻出版标准化技术委员会</w:t>
      </w:r>
      <w:r>
        <w:rPr>
          <w:rFonts w:ascii="宋体" w:hAnsi="宋体" w:cs="宋体"/>
          <w:sz w:val="24"/>
        </w:rPr>
        <w:t>。</w:t>
      </w:r>
    </w:p>
    <w:p w14:paraId="25703CF1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2025</w:t>
      </w:r>
      <w:r>
        <w:rPr>
          <w:rFonts w:ascii="宋体" w:hAnsi="宋体" w:cs="宋体" w:hint="eastAsia"/>
          <w:sz w:val="24"/>
        </w:rPr>
        <w:t>年</w:t>
      </w: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月，全国新闻出版标准化技术委员会组织了行业标准提案评估会。会上，</w:t>
      </w:r>
      <w:r>
        <w:rPr>
          <w:rFonts w:ascii="宋体" w:hAnsi="宋体" w:cs="宋体"/>
          <w:sz w:val="24"/>
        </w:rPr>
        <w:t>专家提出修改标准名称为《</w:t>
      </w:r>
      <w:r>
        <w:rPr>
          <w:rFonts w:ascii="宋体" w:hAnsi="宋体" w:cs="宋体" w:hint="eastAsia"/>
          <w:sz w:val="24"/>
        </w:rPr>
        <w:t>出版</w:t>
      </w:r>
      <w:r>
        <w:rPr>
          <w:rFonts w:ascii="宋体" w:hAnsi="宋体" w:cs="宋体"/>
          <w:sz w:val="24"/>
        </w:rPr>
        <w:t>业人工智能应用指南》</w:t>
      </w:r>
      <w:r>
        <w:rPr>
          <w:rFonts w:ascii="宋体" w:hAnsi="宋体" w:cs="宋体" w:hint="eastAsia"/>
          <w:sz w:val="24"/>
        </w:rPr>
        <w:t>。</w:t>
      </w:r>
    </w:p>
    <w:p w14:paraId="5DDEA50B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2025</w:t>
      </w:r>
      <w:r>
        <w:rPr>
          <w:rFonts w:ascii="宋体" w:hAnsi="宋体" w:cs="宋体" w:hint="eastAsia"/>
          <w:sz w:val="24"/>
        </w:rPr>
        <w:t>年</w:t>
      </w:r>
      <w:r>
        <w:rPr>
          <w:rFonts w:ascii="宋体" w:hAnsi="宋体" w:cs="宋体" w:hint="eastAsia"/>
          <w:sz w:val="24"/>
        </w:rPr>
        <w:t>6</w:t>
      </w:r>
      <w:r>
        <w:rPr>
          <w:rFonts w:ascii="宋体" w:hAnsi="宋体" w:cs="宋体" w:hint="eastAsia"/>
          <w:sz w:val="24"/>
        </w:rPr>
        <w:t>月</w:t>
      </w:r>
      <w:r>
        <w:rPr>
          <w:rFonts w:ascii="宋体" w:hAnsi="宋体" w:cs="宋体"/>
          <w:sz w:val="24"/>
        </w:rPr>
        <w:t>，提案单位</w:t>
      </w:r>
      <w:r>
        <w:rPr>
          <w:rFonts w:ascii="宋体" w:hAnsi="宋体" w:cs="宋体" w:hint="eastAsia"/>
          <w:sz w:val="24"/>
        </w:rPr>
        <w:t>根据</w:t>
      </w:r>
      <w:r>
        <w:rPr>
          <w:rFonts w:ascii="宋体" w:hAnsi="宋体" w:cs="宋体"/>
          <w:sz w:val="24"/>
        </w:rPr>
        <w:t>评估会专家意见修改完成</w:t>
      </w:r>
      <w:r>
        <w:rPr>
          <w:rFonts w:ascii="宋体" w:hAnsi="宋体" w:cs="宋体" w:hint="eastAsia"/>
          <w:sz w:val="24"/>
        </w:rPr>
        <w:t>《出版业人工智能应</w:t>
      </w:r>
      <w:r>
        <w:rPr>
          <w:rFonts w:ascii="宋体" w:hAnsi="宋体" w:cs="宋体" w:hint="eastAsia"/>
          <w:sz w:val="24"/>
        </w:rPr>
        <w:lastRenderedPageBreak/>
        <w:t>用指南》行业标准草案和推荐性行业标准项目建议书，并上报全国新闻出版标准化技术委员会。全国新闻出版标准化技术委员会组织行业标准提案《出版业</w:t>
      </w:r>
      <w:r>
        <w:rPr>
          <w:rFonts w:ascii="宋体" w:hAnsi="宋体" w:cs="宋体" w:hint="eastAsia"/>
          <w:sz w:val="24"/>
        </w:rPr>
        <w:t>人工智能应用指南》立项投票，投票</w:t>
      </w:r>
      <w:r>
        <w:rPr>
          <w:rFonts w:ascii="宋体" w:hAnsi="宋体" w:cs="宋体"/>
          <w:sz w:val="24"/>
        </w:rPr>
        <w:t>结果：</w:t>
      </w:r>
      <w:r>
        <w:rPr>
          <w:rFonts w:ascii="宋体" w:hAnsi="宋体" w:cs="宋体" w:hint="eastAsia"/>
          <w:sz w:val="24"/>
        </w:rPr>
        <w:t>委员</w:t>
      </w:r>
      <w:r>
        <w:rPr>
          <w:rFonts w:ascii="宋体" w:hAnsi="宋体" w:cs="宋体"/>
          <w:sz w:val="24"/>
        </w:rPr>
        <w:t>总数</w:t>
      </w:r>
      <w:r>
        <w:rPr>
          <w:rFonts w:ascii="宋体" w:hAnsi="宋体" w:cs="宋体" w:hint="eastAsia"/>
          <w:sz w:val="24"/>
        </w:rPr>
        <w:t>36</w:t>
      </w:r>
      <w:r>
        <w:rPr>
          <w:rFonts w:ascii="宋体" w:hAnsi="宋体" w:cs="宋体" w:hint="eastAsia"/>
          <w:sz w:val="24"/>
        </w:rPr>
        <w:t>人</w:t>
      </w:r>
      <w:r>
        <w:rPr>
          <w:rFonts w:ascii="宋体" w:hAnsi="宋体" w:cs="宋体"/>
          <w:sz w:val="24"/>
        </w:rPr>
        <w:t>，参与</w:t>
      </w:r>
      <w:r>
        <w:rPr>
          <w:rFonts w:ascii="宋体" w:hAnsi="宋体" w:cs="宋体" w:hint="eastAsia"/>
          <w:sz w:val="24"/>
        </w:rPr>
        <w:t>投票</w:t>
      </w:r>
      <w:r>
        <w:rPr>
          <w:rFonts w:ascii="宋体" w:hAnsi="宋体" w:cs="宋体"/>
          <w:sz w:val="24"/>
        </w:rPr>
        <w:t>人数</w:t>
      </w:r>
      <w:r>
        <w:rPr>
          <w:rFonts w:ascii="宋体" w:hAnsi="宋体" w:cs="宋体" w:hint="eastAsia"/>
          <w:sz w:val="24"/>
        </w:rPr>
        <w:t>35</w:t>
      </w:r>
      <w:r>
        <w:rPr>
          <w:rFonts w:ascii="宋体" w:hAnsi="宋体" w:cs="宋体" w:hint="eastAsia"/>
          <w:sz w:val="24"/>
        </w:rPr>
        <w:t>人</w:t>
      </w:r>
      <w:r>
        <w:rPr>
          <w:rFonts w:ascii="宋体" w:hAnsi="宋体" w:cs="宋体"/>
          <w:sz w:val="24"/>
        </w:rPr>
        <w:t>，</w:t>
      </w:r>
      <w:r>
        <w:rPr>
          <w:rFonts w:ascii="宋体" w:hAnsi="宋体" w:cs="宋体" w:hint="eastAsia"/>
          <w:sz w:val="24"/>
        </w:rPr>
        <w:t>参与</w:t>
      </w:r>
      <w:r>
        <w:rPr>
          <w:rFonts w:ascii="宋体" w:hAnsi="宋体" w:cs="宋体"/>
          <w:sz w:val="24"/>
        </w:rPr>
        <w:t>投票人数超过</w:t>
      </w:r>
      <w:r>
        <w:rPr>
          <w:rFonts w:ascii="宋体" w:hAnsi="宋体" w:cs="宋体" w:hint="eastAsia"/>
          <w:sz w:val="24"/>
        </w:rPr>
        <w:t>3/</w:t>
      </w:r>
      <w:r>
        <w:rPr>
          <w:rFonts w:ascii="宋体" w:hAnsi="宋体" w:cs="宋体"/>
          <w:sz w:val="24"/>
        </w:rPr>
        <w:t>4</w:t>
      </w:r>
      <w:r>
        <w:rPr>
          <w:rFonts w:ascii="宋体" w:hAnsi="宋体" w:cs="宋体"/>
          <w:sz w:val="24"/>
        </w:rPr>
        <w:t>，</w:t>
      </w:r>
      <w:r>
        <w:rPr>
          <w:rFonts w:ascii="宋体" w:hAnsi="宋体" w:cs="宋体" w:hint="eastAsia"/>
          <w:sz w:val="24"/>
        </w:rPr>
        <w:t>赞成</w:t>
      </w:r>
      <w:r>
        <w:rPr>
          <w:rFonts w:ascii="宋体" w:hAnsi="宋体" w:cs="宋体"/>
          <w:sz w:val="24"/>
        </w:rPr>
        <w:t>票</w:t>
      </w:r>
      <w:r>
        <w:rPr>
          <w:rFonts w:ascii="宋体" w:hAnsi="宋体" w:cs="宋体" w:hint="eastAsia"/>
          <w:sz w:val="24"/>
        </w:rPr>
        <w:t>数</w:t>
      </w:r>
      <w:r>
        <w:rPr>
          <w:rFonts w:ascii="宋体" w:hAnsi="宋体" w:cs="宋体"/>
          <w:sz w:val="24"/>
        </w:rPr>
        <w:t>32</w:t>
      </w:r>
      <w:r>
        <w:rPr>
          <w:rFonts w:ascii="宋体" w:hAnsi="宋体" w:cs="宋体" w:hint="eastAsia"/>
          <w:sz w:val="24"/>
        </w:rPr>
        <w:t>票</w:t>
      </w:r>
      <w:r>
        <w:rPr>
          <w:rFonts w:ascii="宋体" w:hAnsi="宋体" w:cs="宋体"/>
          <w:sz w:val="24"/>
        </w:rPr>
        <w:t>，占比</w:t>
      </w:r>
      <w:r>
        <w:rPr>
          <w:rFonts w:ascii="宋体" w:hAnsi="宋体" w:cs="宋体"/>
          <w:sz w:val="24"/>
        </w:rPr>
        <w:t>91.4%</w:t>
      </w:r>
      <w:r>
        <w:rPr>
          <w:rFonts w:ascii="宋体" w:hAnsi="宋体" w:cs="宋体"/>
          <w:sz w:val="24"/>
        </w:rPr>
        <w:t>，超过</w:t>
      </w:r>
      <w:r>
        <w:rPr>
          <w:rFonts w:ascii="宋体" w:hAnsi="宋体" w:cs="宋体"/>
          <w:sz w:val="24"/>
        </w:rPr>
        <w:t>2/3</w:t>
      </w:r>
      <w:r>
        <w:rPr>
          <w:rFonts w:ascii="宋体" w:hAnsi="宋体" w:cs="宋体"/>
          <w:sz w:val="24"/>
        </w:rPr>
        <w:t>。</w:t>
      </w:r>
      <w:r>
        <w:rPr>
          <w:rFonts w:ascii="宋体" w:hAnsi="宋体" w:cs="宋体" w:hint="eastAsia"/>
          <w:sz w:val="24"/>
        </w:rPr>
        <w:t>结论为通过。随后按照新闻出版行业标准立项申报程序</w:t>
      </w:r>
      <w:r>
        <w:rPr>
          <w:rFonts w:ascii="宋体" w:hAnsi="宋体" w:cs="宋体"/>
          <w:sz w:val="24"/>
        </w:rPr>
        <w:t>，</w:t>
      </w:r>
      <w:r>
        <w:rPr>
          <w:rFonts w:ascii="宋体" w:hAnsi="宋体" w:cs="宋体" w:hint="eastAsia"/>
          <w:sz w:val="24"/>
        </w:rPr>
        <w:t>报国家新闻出版署申请立项。</w:t>
      </w:r>
    </w:p>
    <w:p w14:paraId="416E7961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</w:t>
      </w:r>
      <w:r>
        <w:rPr>
          <w:rFonts w:ascii="宋体" w:hAnsi="宋体" w:cs="宋体" w:hint="eastAsia"/>
          <w:sz w:val="24"/>
        </w:rPr>
        <w:t>立项</w:t>
      </w:r>
      <w:r>
        <w:rPr>
          <w:rFonts w:ascii="宋体" w:hAnsi="宋体" w:cs="宋体"/>
          <w:sz w:val="24"/>
        </w:rPr>
        <w:t>阶段</w:t>
      </w:r>
    </w:p>
    <w:p w14:paraId="463344AC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2025</w:t>
      </w:r>
      <w:r>
        <w:rPr>
          <w:rFonts w:ascii="宋体" w:hAnsi="宋体" w:cs="宋体" w:hint="eastAsia"/>
          <w:sz w:val="24"/>
        </w:rPr>
        <w:t>年</w:t>
      </w:r>
      <w:r>
        <w:rPr>
          <w:rFonts w:ascii="宋体" w:hAnsi="宋体" w:cs="宋体" w:hint="eastAsia"/>
          <w:sz w:val="24"/>
        </w:rPr>
        <w:t>7</w:t>
      </w:r>
      <w:r>
        <w:rPr>
          <w:rFonts w:ascii="宋体" w:hAnsi="宋体" w:cs="宋体" w:hint="eastAsia"/>
          <w:sz w:val="24"/>
        </w:rPr>
        <w:t>月</w:t>
      </w:r>
      <w:r>
        <w:rPr>
          <w:rFonts w:ascii="宋体" w:hAnsi="宋体" w:cs="宋体"/>
          <w:sz w:val="24"/>
        </w:rPr>
        <w:t>，</w:t>
      </w:r>
      <w:r>
        <w:rPr>
          <w:rFonts w:ascii="宋体" w:hAnsi="宋体" w:cs="宋体" w:hint="eastAsia"/>
          <w:sz w:val="24"/>
        </w:rPr>
        <w:t>国家新闻出版署发布了包含《出版业人工智能应用指南》在内的</w:t>
      </w:r>
      <w:r>
        <w:rPr>
          <w:rFonts w:ascii="宋体" w:hAnsi="宋体" w:cs="宋体" w:hint="eastAsia"/>
          <w:sz w:val="24"/>
        </w:rPr>
        <w:t>8</w:t>
      </w:r>
      <w:r>
        <w:rPr>
          <w:rFonts w:ascii="宋体" w:hAnsi="宋体" w:cs="宋体" w:hint="eastAsia"/>
          <w:sz w:val="24"/>
        </w:rPr>
        <w:t>项行业标准立项计划的通知，本标准正式立项。</w:t>
      </w:r>
    </w:p>
    <w:p w14:paraId="37DE4A6F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</w:t>
      </w:r>
      <w:r>
        <w:rPr>
          <w:rFonts w:ascii="宋体" w:hAnsi="宋体" w:cs="宋体" w:hint="eastAsia"/>
          <w:sz w:val="24"/>
        </w:rPr>
        <w:t>起草</w:t>
      </w:r>
      <w:r>
        <w:rPr>
          <w:rFonts w:ascii="宋体" w:hAnsi="宋体" w:cs="宋体"/>
          <w:sz w:val="24"/>
        </w:rPr>
        <w:t>阶段</w:t>
      </w:r>
    </w:p>
    <w:p w14:paraId="65DA56E5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2025</w:t>
      </w:r>
      <w:r>
        <w:rPr>
          <w:rFonts w:ascii="宋体" w:hAnsi="宋体" w:cs="宋体" w:hint="eastAsia"/>
          <w:sz w:val="24"/>
        </w:rPr>
        <w:t>年</w:t>
      </w:r>
      <w:r>
        <w:rPr>
          <w:rFonts w:ascii="宋体" w:hAnsi="宋体" w:cs="宋体" w:hint="eastAsia"/>
          <w:sz w:val="24"/>
        </w:rPr>
        <w:t>8</w:t>
      </w:r>
      <w:r>
        <w:rPr>
          <w:rFonts w:ascii="宋体" w:hAnsi="宋体" w:cs="宋体" w:hint="eastAsia"/>
          <w:sz w:val="24"/>
        </w:rPr>
        <w:t>月—</w:t>
      </w:r>
      <w:r>
        <w:rPr>
          <w:rFonts w:ascii="宋体" w:hAnsi="宋体" w:cs="宋体"/>
          <w:sz w:val="24"/>
        </w:rPr>
        <w:t>202</w:t>
      </w: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年</w:t>
      </w:r>
      <w:r>
        <w:rPr>
          <w:rFonts w:ascii="宋体" w:hAnsi="宋体" w:cs="宋体" w:hint="eastAsia"/>
          <w:sz w:val="24"/>
        </w:rPr>
        <w:t>12</w:t>
      </w:r>
      <w:r>
        <w:rPr>
          <w:rFonts w:ascii="宋体" w:hAnsi="宋体" w:cs="宋体" w:hint="eastAsia"/>
          <w:sz w:val="24"/>
        </w:rPr>
        <w:t>月，全国新闻出版标准化技术委员会秘书处组织</w:t>
      </w:r>
      <w:r>
        <w:rPr>
          <w:rFonts w:ascii="宋体" w:hAnsi="宋体" w:cs="宋体"/>
          <w:sz w:val="24"/>
        </w:rPr>
        <w:t>公开征集起草单位，经申报和遴选程序完成起草组组建工作</w:t>
      </w:r>
      <w:r>
        <w:rPr>
          <w:rFonts w:ascii="宋体" w:hAnsi="宋体" w:cs="宋体" w:hint="eastAsia"/>
          <w:sz w:val="24"/>
        </w:rPr>
        <w:t>。</w:t>
      </w:r>
    </w:p>
    <w:p w14:paraId="04446F7A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2026</w:t>
      </w:r>
      <w:r>
        <w:rPr>
          <w:rFonts w:ascii="宋体" w:hAnsi="宋体" w:cs="宋体" w:hint="eastAsia"/>
          <w:sz w:val="24"/>
        </w:rPr>
        <w:t>年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月</w:t>
      </w:r>
      <w:r>
        <w:rPr>
          <w:rFonts w:ascii="宋体" w:hAnsi="宋体" w:cs="宋体" w:hint="eastAsia"/>
          <w:sz w:val="24"/>
        </w:rPr>
        <w:t>15</w:t>
      </w:r>
      <w:r>
        <w:rPr>
          <w:rFonts w:ascii="宋体" w:hAnsi="宋体" w:cs="宋体" w:hint="eastAsia"/>
          <w:sz w:val="24"/>
        </w:rPr>
        <w:t>日，全国新闻出版标准化技术委员会组织召开《出版业人工智能应用指南》行业标准研制工作启动会。会上</w:t>
      </w:r>
      <w:r>
        <w:rPr>
          <w:rFonts w:ascii="宋体" w:hAnsi="宋体" w:cs="宋体"/>
          <w:sz w:val="24"/>
        </w:rPr>
        <w:t>，宣布</w:t>
      </w:r>
      <w:r>
        <w:rPr>
          <w:rFonts w:ascii="宋体" w:hAnsi="宋体" w:cs="宋体" w:hint="eastAsia"/>
          <w:sz w:val="24"/>
        </w:rPr>
        <w:t>成立了标准起草组</w:t>
      </w:r>
      <w:r>
        <w:rPr>
          <w:rFonts w:ascii="宋体" w:hAnsi="宋体" w:cs="宋体"/>
          <w:sz w:val="24"/>
        </w:rPr>
        <w:t>，</w:t>
      </w:r>
      <w:r>
        <w:rPr>
          <w:rFonts w:ascii="宋体" w:hAnsi="宋体" w:cs="宋体" w:hint="eastAsia"/>
          <w:sz w:val="24"/>
        </w:rPr>
        <w:t>并对标准草案的框架、内容、技术细节等进行深入讨论。会后，执笔人根据启动会上各起草单位提出的意见和建议，对标准草案进行修改形成了标准工作组稿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稿。</w:t>
      </w:r>
    </w:p>
    <w:p w14:paraId="50755E75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2026</w:t>
      </w:r>
      <w:r>
        <w:rPr>
          <w:rFonts w:ascii="宋体" w:hAnsi="宋体" w:cs="宋体" w:hint="eastAsia"/>
          <w:sz w:val="24"/>
        </w:rPr>
        <w:t>年</w:t>
      </w: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月</w:t>
      </w:r>
      <w:r>
        <w:rPr>
          <w:rFonts w:ascii="宋体" w:hAnsi="宋体" w:cs="宋体" w:hint="eastAsia"/>
          <w:sz w:val="24"/>
        </w:rPr>
        <w:t>28</w:t>
      </w:r>
      <w:r>
        <w:rPr>
          <w:rFonts w:ascii="宋体" w:hAnsi="宋体" w:cs="宋体" w:hint="eastAsia"/>
          <w:sz w:val="24"/>
        </w:rPr>
        <w:t>日，全国新闻出版标准化技术委员会组织召开《出版业人工智能应用指南》行业标准研讨会，会上各位专家就标准结构、表述内容等问题进行了深入讨论。会后执笔人根据研讨会上专家提出的意见和建议进行修改，形成了标准工作组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稿。</w:t>
      </w:r>
    </w:p>
    <w:p w14:paraId="41B57EC1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2026</w:t>
      </w:r>
      <w:r>
        <w:rPr>
          <w:rFonts w:ascii="宋体" w:hAnsi="宋体" w:cs="宋体" w:hint="eastAsia"/>
          <w:sz w:val="24"/>
        </w:rPr>
        <w:t>年</w:t>
      </w:r>
      <w:r>
        <w:rPr>
          <w:rFonts w:ascii="宋体" w:hAnsi="宋体" w:cs="宋体" w:hint="eastAsia"/>
          <w:sz w:val="24"/>
        </w:rPr>
        <w:t>5-6</w:t>
      </w:r>
      <w:r>
        <w:rPr>
          <w:rFonts w:ascii="宋体" w:hAnsi="宋体" w:cs="宋体" w:hint="eastAsia"/>
          <w:sz w:val="24"/>
        </w:rPr>
        <w:t>月，起草组对标准内容进行了多轮修改，并对标准内容达成一致，完成标准征求意见稿及编制说明。</w:t>
      </w:r>
    </w:p>
    <w:p w14:paraId="6ACC7A31" w14:textId="77777777" w:rsidR="00B85031" w:rsidRDefault="004C2540">
      <w:pPr>
        <w:pStyle w:val="a4"/>
        <w:numPr>
          <w:ilvl w:val="0"/>
          <w:numId w:val="2"/>
        </w:numPr>
        <w:spacing w:after="0" w:line="360" w:lineRule="auto"/>
        <w:ind w:left="851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标准主要</w:t>
      </w:r>
      <w:r>
        <w:rPr>
          <w:rFonts w:asciiTheme="minorEastAsia" w:eastAsiaTheme="minorEastAsia" w:hAnsiTheme="minorEastAsia" w:cstheme="minorEastAsia"/>
        </w:rPr>
        <w:t>起草单位</w:t>
      </w:r>
    </w:p>
    <w:p w14:paraId="41789FF7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起草组</w:t>
      </w:r>
      <w:r>
        <w:rPr>
          <w:rFonts w:ascii="宋体" w:hAnsi="宋体" w:cs="宋体"/>
          <w:sz w:val="24"/>
        </w:rPr>
        <w:t>组长单位：</w:t>
      </w:r>
      <w:r>
        <w:rPr>
          <w:rFonts w:ascii="宋体" w:hAnsi="宋体" w:cs="宋体" w:hint="eastAsia"/>
          <w:sz w:val="24"/>
        </w:rPr>
        <w:t>武汉理工数字传播工程有限公司</w:t>
      </w:r>
    </w:p>
    <w:p w14:paraId="4B9D8B70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起草组副组长</w:t>
      </w:r>
      <w:r>
        <w:rPr>
          <w:rFonts w:ascii="宋体" w:hAnsi="宋体" w:cs="宋体"/>
          <w:sz w:val="24"/>
        </w:rPr>
        <w:t>单位：</w:t>
      </w:r>
      <w:r>
        <w:rPr>
          <w:rFonts w:ascii="宋体" w:hAnsi="宋体" w:cs="宋体" w:hint="eastAsia"/>
          <w:sz w:val="24"/>
        </w:rPr>
        <w:t>广西师范大学出版社集团有限公司</w:t>
      </w:r>
    </w:p>
    <w:p w14:paraId="75FB372E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起草组其他</w:t>
      </w:r>
      <w:r>
        <w:rPr>
          <w:rFonts w:ascii="宋体" w:hAnsi="宋体" w:cs="宋体"/>
          <w:sz w:val="24"/>
        </w:rPr>
        <w:t>成员单位：</w:t>
      </w:r>
      <w:r>
        <w:rPr>
          <w:rFonts w:ascii="宋体" w:hAnsi="宋体" w:cs="宋体" w:hint="eastAsia"/>
          <w:sz w:val="24"/>
        </w:rPr>
        <w:t>人民出版社、外语教学与研究出版社有限责任公司、中国科学技术出版社有限公司、北京理工大学出版社有限责任公司、国家开放大学出版社有限公司、电子工业出版社有限公司、中国青年出版总社有限公司、中国水利水电出版传媒集团有限公司、石油工业出版社有限公司、北京航空航天大学出版社有限公司、方圆电子出版社有限责任公司、中国妇女出版社有限公司、</w:t>
      </w:r>
      <w:r>
        <w:rPr>
          <w:rFonts w:ascii="宋体" w:hAnsi="宋体" w:cs="宋体" w:hint="eastAsia"/>
          <w:sz w:val="24"/>
        </w:rPr>
        <w:lastRenderedPageBreak/>
        <w:t>文心出版社有限公司、教育科学出版社有限公司、华龄出版社、北京时代华文书局有限公司、北京体育大学出版社有限公司、广东教育出版社有限公司、天津大学出版社有限责任公司、华中科技大学出版社有限责</w:t>
      </w:r>
      <w:r>
        <w:rPr>
          <w:rFonts w:ascii="宋体" w:hAnsi="宋体" w:cs="宋体" w:hint="eastAsia"/>
          <w:sz w:val="24"/>
        </w:rPr>
        <w:t>任公司、甘肃教育出版社有限责任公司、重庆大学电子音像出版社有限公司、人民东方出版传媒有限公司、北京大学、上海理工大学、中南大学、北京印刷学院、北京融闻传媒科技研究院有限公司、山东出版数字融合产业研究院有限公司、建知（北京）数字传媒有限公司、中图科信数智技术（北京）有限公司、北京万物可知技术有限公司、智讯学术（北京）信息服务有限公司、理工智荟（北京）数智科技有限公司、广东省</w:t>
      </w:r>
      <w:r>
        <w:rPr>
          <w:rFonts w:ascii="宋体" w:hAnsi="宋体" w:cs="宋体"/>
          <w:sz w:val="24"/>
        </w:rPr>
        <w:t>出版集团数字出版有限公司、</w:t>
      </w:r>
      <w:r>
        <w:rPr>
          <w:rFonts w:ascii="宋体" w:hAnsi="宋体" w:cs="宋体" w:hint="eastAsia"/>
          <w:sz w:val="24"/>
        </w:rPr>
        <w:t>联通</w:t>
      </w:r>
      <w:r>
        <w:rPr>
          <w:rFonts w:ascii="宋体" w:hAnsi="宋体" w:cs="宋体"/>
          <w:sz w:val="24"/>
        </w:rPr>
        <w:t>沃</w:t>
      </w:r>
      <w:r>
        <w:rPr>
          <w:rFonts w:ascii="宋体" w:hAnsi="宋体" w:cs="宋体" w:hint="eastAsia"/>
          <w:sz w:val="24"/>
        </w:rPr>
        <w:t>悦</w:t>
      </w:r>
      <w:r>
        <w:rPr>
          <w:rFonts w:ascii="宋体" w:hAnsi="宋体" w:cs="宋体"/>
          <w:sz w:val="24"/>
        </w:rPr>
        <w:t>读科技文化有限公司</w:t>
      </w:r>
      <w:r>
        <w:rPr>
          <w:rFonts w:ascii="宋体" w:hAnsi="宋体" w:cs="宋体" w:hint="eastAsia"/>
          <w:sz w:val="24"/>
        </w:rPr>
        <w:t>、中国新闻出版研究院。</w:t>
      </w:r>
    </w:p>
    <w:p w14:paraId="4180C457" w14:textId="77777777" w:rsidR="00B85031" w:rsidRDefault="004C2540">
      <w:pPr>
        <w:pStyle w:val="a4"/>
        <w:numPr>
          <w:ilvl w:val="0"/>
          <w:numId w:val="1"/>
        </w:numPr>
        <w:spacing w:after="0" w:line="360" w:lineRule="auto"/>
        <w:ind w:left="567" w:hanging="567"/>
        <w:rPr>
          <w:rFonts w:asciiTheme="minorEastAsia" w:eastAsiaTheme="minorEastAsia" w:hAnsiTheme="minorEastAsia" w:cstheme="minorEastAsia"/>
          <w:b/>
        </w:rPr>
      </w:pPr>
      <w:r>
        <w:rPr>
          <w:rFonts w:asciiTheme="minorEastAsia" w:eastAsiaTheme="minorEastAsia" w:hAnsiTheme="minorEastAsia" w:cstheme="minorEastAsia" w:hint="eastAsia"/>
          <w:b/>
        </w:rPr>
        <w:t>编制原则、主要内容及其确定依据</w:t>
      </w:r>
    </w:p>
    <w:p w14:paraId="03F9155A" w14:textId="77777777" w:rsidR="00B85031" w:rsidRDefault="004C2540">
      <w:pPr>
        <w:pStyle w:val="a4"/>
        <w:numPr>
          <w:ilvl w:val="0"/>
          <w:numId w:val="4"/>
        </w:numPr>
        <w:spacing w:after="0" w:line="360" w:lineRule="auto"/>
        <w:ind w:left="851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编制原则</w:t>
      </w:r>
    </w:p>
    <w:p w14:paraId="05B4C5B6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《出版业人工智能应用</w:t>
      </w:r>
      <w:r>
        <w:rPr>
          <w:rFonts w:ascii="宋体" w:hAnsi="宋体" w:cs="宋体" w:hint="eastAsia"/>
          <w:sz w:val="24"/>
        </w:rPr>
        <w:t>指南》按照</w:t>
      </w:r>
      <w:r>
        <w:rPr>
          <w:rFonts w:ascii="宋体" w:hAnsi="宋体" w:cs="宋体" w:hint="eastAsia"/>
          <w:sz w:val="24"/>
        </w:rPr>
        <w:t>GB/T1.1</w:t>
      </w:r>
      <w:r>
        <w:rPr>
          <w:rFonts w:ascii="宋体" w:hAnsi="宋体" w:cs="宋体" w:hint="eastAsia"/>
          <w:sz w:val="24"/>
        </w:rPr>
        <w:t>—</w:t>
      </w:r>
      <w:r>
        <w:rPr>
          <w:rFonts w:ascii="宋体" w:hAnsi="宋体" w:cs="宋体" w:hint="eastAsia"/>
          <w:sz w:val="24"/>
        </w:rPr>
        <w:t>2020</w:t>
      </w:r>
      <w:r>
        <w:rPr>
          <w:rFonts w:ascii="宋体" w:hAnsi="宋体" w:cs="宋体" w:hint="eastAsia"/>
          <w:sz w:val="24"/>
        </w:rPr>
        <w:t>给出的规则起草。技术指标参考国内已有的相关产品、服务经验等实际情况制定，遵循了科学、实际、适用的原则，即指标设定要科学先进、经济合理、实施便利。</w:t>
      </w:r>
    </w:p>
    <w:p w14:paraId="03118A72" w14:textId="77777777" w:rsidR="00B85031" w:rsidRDefault="004C2540">
      <w:pPr>
        <w:pStyle w:val="a4"/>
        <w:numPr>
          <w:ilvl w:val="0"/>
          <w:numId w:val="4"/>
        </w:numPr>
        <w:spacing w:after="0" w:line="360" w:lineRule="auto"/>
        <w:ind w:left="851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主要</w:t>
      </w:r>
      <w:r>
        <w:rPr>
          <w:rFonts w:asciiTheme="minorEastAsia" w:eastAsiaTheme="minorEastAsia" w:hAnsiTheme="minorEastAsia" w:cstheme="minorEastAsia"/>
        </w:rPr>
        <w:t>内容</w:t>
      </w:r>
      <w:r>
        <w:rPr>
          <w:rFonts w:asciiTheme="minorEastAsia" w:eastAsiaTheme="minorEastAsia" w:hAnsiTheme="minorEastAsia" w:cstheme="minorEastAsia" w:hint="eastAsia"/>
        </w:rPr>
        <w:t>及其</w:t>
      </w:r>
      <w:r>
        <w:rPr>
          <w:rFonts w:asciiTheme="minorEastAsia" w:eastAsiaTheme="minorEastAsia" w:hAnsiTheme="minorEastAsia" w:cstheme="minorEastAsia"/>
        </w:rPr>
        <w:t>确定依据</w:t>
      </w:r>
    </w:p>
    <w:p w14:paraId="52F8FB26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</w:t>
      </w:r>
      <w:r>
        <w:rPr>
          <w:rFonts w:ascii="宋体" w:hAnsi="宋体" w:cs="宋体" w:hint="eastAsia"/>
          <w:sz w:val="24"/>
        </w:rPr>
        <w:t>范围</w:t>
      </w:r>
    </w:p>
    <w:p w14:paraId="33DFBA47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本标准提供了出版业人工智能应用原则、应用基础、应用场景、应用管理等方面的指导。适用于出版业应用人工智能技术的主要场景。</w:t>
      </w:r>
    </w:p>
    <w:p w14:paraId="6E7B272A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</w:t>
      </w:r>
      <w:r>
        <w:rPr>
          <w:rFonts w:ascii="宋体" w:hAnsi="宋体" w:cs="宋体" w:hint="eastAsia"/>
          <w:sz w:val="24"/>
        </w:rPr>
        <w:t>主要</w:t>
      </w:r>
      <w:r>
        <w:rPr>
          <w:rFonts w:ascii="宋体" w:hAnsi="宋体" w:cs="宋体"/>
          <w:sz w:val="24"/>
        </w:rPr>
        <w:t>技术内容</w:t>
      </w:r>
    </w:p>
    <w:p w14:paraId="1C1F8C8F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本标准明确出版业人工智能应用相关术语，确立价值导向、安全合规、人机协同、适用性四大应用原则。从组织制度、人员素养、软硬件设施三方面规定</w:t>
      </w:r>
      <w:r>
        <w:rPr>
          <w:rFonts w:ascii="宋体" w:hAnsi="宋体" w:cs="宋体" w:hint="eastAsia"/>
          <w:sz w:val="24"/>
        </w:rPr>
        <w:t xml:space="preserve">AI </w:t>
      </w:r>
      <w:r>
        <w:rPr>
          <w:rFonts w:ascii="宋体" w:hAnsi="宋体" w:cs="宋体" w:hint="eastAsia"/>
          <w:sz w:val="24"/>
        </w:rPr>
        <w:t>应用基础条件，划分生产</w:t>
      </w:r>
      <w:r>
        <w:rPr>
          <w:rFonts w:ascii="宋体" w:hAnsi="宋体" w:cs="宋体" w:hint="eastAsia"/>
          <w:sz w:val="24"/>
        </w:rPr>
        <w:t>运营支撑、产品形态升级、产业延伸服务三大类十大应用场景，细化各场景核心功能。同时规范出版机构主体管理、服务商遴选、安全运维、版权合规全流程管理要求。附录提供</w:t>
      </w:r>
      <w:r>
        <w:rPr>
          <w:rFonts w:ascii="宋体" w:hAnsi="宋体" w:cs="宋体" w:hint="eastAsia"/>
          <w:sz w:val="24"/>
        </w:rPr>
        <w:t>AI</w:t>
      </w:r>
      <w:r>
        <w:rPr>
          <w:rFonts w:ascii="宋体" w:hAnsi="宋体" w:cs="宋体" w:hint="eastAsia"/>
          <w:sz w:val="24"/>
        </w:rPr>
        <w:t>工具选型、部署方案及图书、期刊、数字出版分业态落地指引，形成覆盖技术选型、业务落地、风险管控的完整行业规范。</w:t>
      </w:r>
    </w:p>
    <w:p w14:paraId="0F555A59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</w:t>
      </w:r>
      <w:r>
        <w:rPr>
          <w:rFonts w:ascii="宋体" w:hAnsi="宋体" w:cs="宋体"/>
          <w:sz w:val="24"/>
        </w:rPr>
        <w:t>确定</w:t>
      </w:r>
      <w:r>
        <w:rPr>
          <w:rFonts w:ascii="宋体" w:hAnsi="宋体" w:cs="宋体" w:hint="eastAsia"/>
          <w:sz w:val="24"/>
        </w:rPr>
        <w:t>主要</w:t>
      </w:r>
      <w:r>
        <w:rPr>
          <w:rFonts w:ascii="宋体" w:hAnsi="宋体" w:cs="宋体"/>
          <w:sz w:val="24"/>
        </w:rPr>
        <w:t>内容</w:t>
      </w:r>
      <w:r>
        <w:rPr>
          <w:rFonts w:ascii="宋体" w:hAnsi="宋体" w:cs="宋体" w:hint="eastAsia"/>
          <w:sz w:val="24"/>
        </w:rPr>
        <w:t>的</w:t>
      </w:r>
      <w:r>
        <w:rPr>
          <w:rFonts w:ascii="宋体" w:hAnsi="宋体" w:cs="宋体"/>
          <w:sz w:val="24"/>
        </w:rPr>
        <w:t>依据</w:t>
      </w:r>
    </w:p>
    <w:p w14:paraId="5877BF07" w14:textId="77777777" w:rsidR="00B85031" w:rsidRDefault="004C2540">
      <w:pPr>
        <w:pStyle w:val="ad"/>
        <w:spacing w:after="0" w:line="360" w:lineRule="auto"/>
        <w:ind w:firstLine="480"/>
        <w:rPr>
          <w:rFonts w:ascii="Times New Roman"/>
          <w:kern w:val="2"/>
          <w:sz w:val="24"/>
          <w:szCs w:val="24"/>
        </w:rPr>
      </w:pPr>
      <w:r>
        <w:rPr>
          <w:rFonts w:ascii="Times New Roman" w:hint="eastAsia"/>
          <w:kern w:val="2"/>
          <w:sz w:val="24"/>
          <w:szCs w:val="24"/>
        </w:rPr>
        <w:lastRenderedPageBreak/>
        <w:t>标准中各项内容的确定，主要基于出版业人工智能技术在选题策划、内容创作、审校发行等全流程的广泛应用实践，总结了行业主流企业的成熟落地经验。通过对多家出版机构的实地调研与行业专家研讨，梳理了人机协同流程不清晰、权责边界不明</w:t>
      </w:r>
      <w:r>
        <w:rPr>
          <w:rFonts w:ascii="Times New Roman" w:hint="eastAsia"/>
          <w:kern w:val="2"/>
          <w:sz w:val="24"/>
          <w:szCs w:val="24"/>
        </w:rPr>
        <w:t>确、风险管控体系不完善等共性问题，同时结合国家“人工智能</w:t>
      </w:r>
      <w:r>
        <w:rPr>
          <w:rFonts w:ascii="Times New Roman" w:hint="eastAsia"/>
          <w:kern w:val="2"/>
          <w:sz w:val="24"/>
          <w:szCs w:val="24"/>
        </w:rPr>
        <w:t>+</w:t>
      </w:r>
      <w:r>
        <w:rPr>
          <w:rFonts w:ascii="Times New Roman" w:hint="eastAsia"/>
          <w:kern w:val="2"/>
          <w:sz w:val="24"/>
          <w:szCs w:val="24"/>
        </w:rPr>
        <w:t>”</w:t>
      </w:r>
      <w:r>
        <w:rPr>
          <w:rFonts w:ascii="Times New Roman" w:hint="eastAsia"/>
          <w:kern w:val="2"/>
          <w:sz w:val="24"/>
          <w:szCs w:val="24"/>
        </w:rPr>
        <w:t xml:space="preserve"> </w:t>
      </w:r>
      <w:r>
        <w:rPr>
          <w:rFonts w:ascii="Times New Roman" w:hint="eastAsia"/>
          <w:kern w:val="2"/>
          <w:sz w:val="24"/>
          <w:szCs w:val="24"/>
        </w:rPr>
        <w:t>发展战略及《生成式人工智能服务管理暂行办法》等相关法律法规、标准要求，参考已有行业相关规范，最终形成了符合出版业实际、可落地可操作的应用指导内容。</w:t>
      </w:r>
    </w:p>
    <w:p w14:paraId="04E86050" w14:textId="77777777" w:rsidR="00B85031" w:rsidRDefault="004C2540">
      <w:pPr>
        <w:pStyle w:val="a4"/>
        <w:numPr>
          <w:ilvl w:val="0"/>
          <w:numId w:val="1"/>
        </w:numPr>
        <w:spacing w:after="0" w:line="360" w:lineRule="auto"/>
        <w:ind w:left="567" w:hanging="567"/>
        <w:rPr>
          <w:rFonts w:asciiTheme="minorEastAsia" w:eastAsiaTheme="minorEastAsia" w:hAnsiTheme="minorEastAsia" w:cstheme="minorEastAsia"/>
          <w:b/>
        </w:rPr>
      </w:pPr>
      <w:r>
        <w:rPr>
          <w:rFonts w:asciiTheme="minorEastAsia" w:eastAsiaTheme="minorEastAsia" w:hAnsiTheme="minorEastAsia" w:cstheme="minorEastAsia" w:hint="eastAsia"/>
          <w:b/>
        </w:rPr>
        <w:t>试验验证的分析、综述报告，</w:t>
      </w:r>
      <w:r>
        <w:rPr>
          <w:rFonts w:asciiTheme="minorEastAsia" w:eastAsiaTheme="minorEastAsia" w:hAnsiTheme="minorEastAsia" w:cstheme="minorEastAsia"/>
          <w:b/>
        </w:rPr>
        <w:t>技术经济论证</w:t>
      </w:r>
      <w:r>
        <w:rPr>
          <w:rFonts w:asciiTheme="minorEastAsia" w:eastAsiaTheme="minorEastAsia" w:hAnsiTheme="minorEastAsia" w:cstheme="minorEastAsia" w:hint="eastAsia"/>
          <w:b/>
        </w:rPr>
        <w:t>，预期的经济效益、社会效益和生态效益</w:t>
      </w:r>
    </w:p>
    <w:p w14:paraId="61C39EB3" w14:textId="77777777" w:rsidR="00B85031" w:rsidRDefault="004C2540">
      <w:pPr>
        <w:pStyle w:val="a4"/>
        <w:numPr>
          <w:ilvl w:val="0"/>
          <w:numId w:val="5"/>
        </w:numPr>
        <w:spacing w:after="0" w:line="360" w:lineRule="auto"/>
        <w:ind w:left="851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试验验证的分析、综述报告</w:t>
      </w:r>
    </w:p>
    <w:p w14:paraId="28AC175D" w14:textId="77777777" w:rsidR="00B85031" w:rsidRDefault="004C2540">
      <w:pPr>
        <w:adjustRightInd w:val="0"/>
        <w:snapToGrid w:val="0"/>
        <w:spacing w:beforeLines="50" w:before="120" w:after="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本标准的核心内容基于出版行业应用人工智能现状，起草组选取了专业类出版社、教育类出版社、科研机构、技术公司等典型企业开展试点验证。验证结果表明，标准规定的应用基础、应用场景、应用管理等指南内容能够适配不同类型的人工智能应用需求，同时进一步促进行业对于人工智能应用的积极探索。标准内容覆盖的选题策划、内容审校、营销发行、产品形态升级等核心应用场景，也能贴合行业实际，标准的条款具备良好的可操作性和通用性，能有效解决行业对于人工智能应用在出版生产流程中的疑虑，匹配出版机构的核心业务需求，在现有技术条件下可实现、可落地</w:t>
      </w:r>
      <w:r>
        <w:rPr>
          <w:rFonts w:hint="eastAsia"/>
          <w:sz w:val="24"/>
        </w:rPr>
        <w:t>。</w:t>
      </w:r>
    </w:p>
    <w:p w14:paraId="6D09188F" w14:textId="77777777" w:rsidR="00B85031" w:rsidRDefault="004C2540">
      <w:pPr>
        <w:pStyle w:val="a4"/>
        <w:numPr>
          <w:ilvl w:val="0"/>
          <w:numId w:val="5"/>
        </w:numPr>
        <w:spacing w:after="0" w:line="360" w:lineRule="auto"/>
        <w:ind w:left="851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技术经济论证</w:t>
      </w:r>
    </w:p>
    <w:p w14:paraId="1100149F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本标准为指南性标准，出版机构可根据自身业务规模、发展阶段和实际需求，选择适用的人工智能工具；技术服务提供商可结合自身技术优势与市场定位，提供分场景专项服务，提升出版业人工智能工具适配性和用户体验。该设计既降低了中小出版机构的技术应用门槛和实施成本，也满足了大型出版集团全流程智能化建设的需求，同时兼顾了技术服务提供商的产品研发节奏与差异化市场策略。</w:t>
      </w:r>
    </w:p>
    <w:p w14:paraId="4B23D62D" w14:textId="77777777" w:rsidR="00B85031" w:rsidRDefault="004C2540">
      <w:pPr>
        <w:pStyle w:val="a4"/>
        <w:numPr>
          <w:ilvl w:val="0"/>
          <w:numId w:val="5"/>
        </w:numPr>
        <w:spacing w:after="0" w:line="360" w:lineRule="auto"/>
        <w:ind w:left="851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预期的经济效益、社会效益和生态效益</w:t>
      </w:r>
    </w:p>
    <w:p w14:paraId="38DC61F4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本文件研制完成后，将弥补出版业人工智能应用领域的实践指引缺失，统一行业应用共识。经济效益方面，可明确人机协作</w:t>
      </w:r>
      <w:r>
        <w:rPr>
          <w:rFonts w:ascii="宋体" w:hAnsi="宋体" w:cs="宋体" w:hint="eastAsia"/>
          <w:sz w:val="24"/>
        </w:rPr>
        <w:t>流程与权责边界，降低协作成本，大幅提升内容生产效率，优化人力成本结构；同时推动出版机构高价值专业语料、结构化知识等内容资产的开发与增值，拓展知识服务等新盈利模式。社会效益方</w:t>
      </w:r>
      <w:r>
        <w:rPr>
          <w:rFonts w:ascii="宋体" w:hAnsi="宋体" w:cs="宋体" w:hint="eastAsia"/>
          <w:sz w:val="24"/>
        </w:rPr>
        <w:lastRenderedPageBreak/>
        <w:t>面，可有效管控</w:t>
      </w:r>
      <w:r>
        <w:rPr>
          <w:rFonts w:ascii="宋体" w:hAnsi="宋体" w:cs="宋体" w:hint="eastAsia"/>
          <w:sz w:val="24"/>
        </w:rPr>
        <w:t xml:space="preserve"> AI </w:t>
      </w:r>
      <w:r>
        <w:rPr>
          <w:rFonts w:ascii="宋体" w:hAnsi="宋体" w:cs="宋体" w:hint="eastAsia"/>
          <w:sz w:val="24"/>
        </w:rPr>
        <w:t>幻觉、版权侵权、内容安全等系统性风险，保障出版物内容质量与正确导向；落实国家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“人工智能</w:t>
      </w:r>
      <w:r>
        <w:rPr>
          <w:rFonts w:ascii="宋体" w:hAnsi="宋体" w:cs="宋体" w:hint="eastAsia"/>
          <w:sz w:val="24"/>
        </w:rPr>
        <w:t xml:space="preserve"> +</w:t>
      </w:r>
      <w:r>
        <w:rPr>
          <w:rFonts w:ascii="宋体" w:hAnsi="宋体" w:cs="宋体" w:hint="eastAsia"/>
          <w:sz w:val="24"/>
        </w:rPr>
        <w:t>”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发展战略，推动出版业从数字化向智能化深度转型。生态效益方面，可构建规范有序的出版人工智能产业生态，促进出版机构与技术服务提供商的协同创新，带动行业整体高质量发展。</w:t>
      </w:r>
    </w:p>
    <w:p w14:paraId="79A68CCD" w14:textId="77777777" w:rsidR="00B85031" w:rsidRDefault="004C2540">
      <w:pPr>
        <w:pStyle w:val="a4"/>
        <w:numPr>
          <w:ilvl w:val="0"/>
          <w:numId w:val="1"/>
        </w:numPr>
        <w:spacing w:after="0" w:line="360" w:lineRule="auto"/>
        <w:ind w:left="567" w:hanging="567"/>
        <w:rPr>
          <w:rFonts w:asciiTheme="minorEastAsia" w:eastAsiaTheme="minorEastAsia" w:hAnsiTheme="minorEastAsia" w:cstheme="minorEastAsia"/>
          <w:b/>
        </w:rPr>
      </w:pPr>
      <w:r>
        <w:rPr>
          <w:rFonts w:asciiTheme="minorEastAsia" w:eastAsiaTheme="minorEastAsia" w:hAnsiTheme="minorEastAsia" w:cstheme="minorEastAsia" w:hint="eastAsia"/>
          <w:b/>
        </w:rPr>
        <w:t>采用国际标准和国外先进标准的程度，以及与国外同类标准水平的</w:t>
      </w:r>
      <w:r>
        <w:rPr>
          <w:rFonts w:asciiTheme="minorEastAsia" w:eastAsiaTheme="minorEastAsia" w:hAnsiTheme="minorEastAsia" w:cstheme="minorEastAsia" w:hint="eastAsia"/>
          <w:b/>
        </w:rPr>
        <w:t>对比情况，或与测试的国外样品、样机的有关数据对比情况</w:t>
      </w:r>
    </w:p>
    <w:p w14:paraId="05749966" w14:textId="77777777" w:rsidR="00B85031" w:rsidRDefault="004C2540">
      <w:pPr>
        <w:pStyle w:val="a4"/>
        <w:numPr>
          <w:ilvl w:val="0"/>
          <w:numId w:val="6"/>
        </w:numPr>
        <w:spacing w:after="0" w:line="360" w:lineRule="auto"/>
        <w:ind w:left="851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采用国际标准和国外先进标准的程度</w:t>
      </w:r>
    </w:p>
    <w:p w14:paraId="652D9A85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不存在同类国际国外标准。</w:t>
      </w:r>
    </w:p>
    <w:p w14:paraId="218DD090" w14:textId="77777777" w:rsidR="00B85031" w:rsidRDefault="004C2540">
      <w:pPr>
        <w:pStyle w:val="a4"/>
        <w:numPr>
          <w:ilvl w:val="0"/>
          <w:numId w:val="6"/>
        </w:numPr>
        <w:spacing w:after="0" w:line="360" w:lineRule="auto"/>
        <w:ind w:left="851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与国外同类标准水平的对比情况，或与测试的国外样品、样机的有关数据对比情况</w:t>
      </w:r>
    </w:p>
    <w:p w14:paraId="5886DB89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不存在同类国际国外标准。</w:t>
      </w:r>
    </w:p>
    <w:p w14:paraId="48A0EB97" w14:textId="77777777" w:rsidR="00B85031" w:rsidRDefault="004C2540">
      <w:pPr>
        <w:pStyle w:val="a4"/>
        <w:numPr>
          <w:ilvl w:val="0"/>
          <w:numId w:val="1"/>
        </w:numPr>
        <w:spacing w:after="0" w:line="360" w:lineRule="auto"/>
        <w:ind w:left="567" w:hanging="567"/>
        <w:rPr>
          <w:rFonts w:asciiTheme="minorEastAsia" w:eastAsiaTheme="minorEastAsia" w:hAnsiTheme="minorEastAsia" w:cstheme="minorEastAsia"/>
          <w:b/>
        </w:rPr>
      </w:pPr>
      <w:r>
        <w:rPr>
          <w:rFonts w:asciiTheme="minorEastAsia" w:eastAsiaTheme="minorEastAsia" w:hAnsiTheme="minorEastAsia" w:cstheme="minorEastAsia" w:hint="eastAsia"/>
          <w:b/>
        </w:rPr>
        <w:t>以国际标准为基础的起草情况，合规引用或者采用国际国外标准情况，未采用国际标准的原因</w:t>
      </w:r>
    </w:p>
    <w:p w14:paraId="607ACB02" w14:textId="77777777" w:rsidR="00B85031" w:rsidRDefault="004C2540">
      <w:pPr>
        <w:pStyle w:val="a4"/>
        <w:numPr>
          <w:ilvl w:val="0"/>
          <w:numId w:val="7"/>
        </w:numPr>
        <w:spacing w:after="0" w:line="360" w:lineRule="auto"/>
        <w:ind w:left="851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以国际标准为基础的起草情况</w:t>
      </w:r>
    </w:p>
    <w:p w14:paraId="61CAECAF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不存在同类国际国外标准。</w:t>
      </w:r>
    </w:p>
    <w:p w14:paraId="40E6D110" w14:textId="77777777" w:rsidR="00B85031" w:rsidRDefault="004C2540">
      <w:pPr>
        <w:pStyle w:val="a4"/>
        <w:numPr>
          <w:ilvl w:val="0"/>
          <w:numId w:val="7"/>
        </w:numPr>
        <w:spacing w:after="0" w:line="360" w:lineRule="auto"/>
        <w:ind w:left="851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合规引用或者采用国际国外标准情况</w:t>
      </w:r>
    </w:p>
    <w:p w14:paraId="71EF2455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不存在同类国际国外标准。</w:t>
      </w:r>
    </w:p>
    <w:p w14:paraId="7E51C2B1" w14:textId="77777777" w:rsidR="00B85031" w:rsidRDefault="004C2540">
      <w:pPr>
        <w:pStyle w:val="a4"/>
        <w:numPr>
          <w:ilvl w:val="0"/>
          <w:numId w:val="7"/>
        </w:numPr>
        <w:spacing w:after="0" w:line="360" w:lineRule="auto"/>
        <w:ind w:left="851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未采用国际标准的原因</w:t>
      </w:r>
    </w:p>
    <w:p w14:paraId="21A6FD35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不存在同类国际国外标准。</w:t>
      </w:r>
    </w:p>
    <w:p w14:paraId="1E4CAC4E" w14:textId="77777777" w:rsidR="00B85031" w:rsidRDefault="004C2540">
      <w:pPr>
        <w:pStyle w:val="a4"/>
        <w:numPr>
          <w:ilvl w:val="0"/>
          <w:numId w:val="1"/>
        </w:numPr>
        <w:spacing w:after="0" w:line="360" w:lineRule="auto"/>
        <w:ind w:left="567" w:hanging="567"/>
        <w:rPr>
          <w:rFonts w:asciiTheme="minorEastAsia" w:eastAsiaTheme="minorEastAsia" w:hAnsiTheme="minorEastAsia" w:cstheme="minorEastAsia"/>
          <w:b/>
        </w:rPr>
      </w:pPr>
      <w:r>
        <w:rPr>
          <w:rFonts w:asciiTheme="minorEastAsia" w:eastAsiaTheme="minorEastAsia" w:hAnsiTheme="minorEastAsia" w:cstheme="minorEastAsia" w:hint="eastAsia"/>
          <w:b/>
        </w:rPr>
        <w:t>与有关法律、行政法规及相关标准的关系</w:t>
      </w:r>
    </w:p>
    <w:p w14:paraId="7E7ADBD6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本标准符合现行法律法规要求，与强制性标准协调一致，无冲突和矛盾。</w:t>
      </w:r>
    </w:p>
    <w:p w14:paraId="4A50A717" w14:textId="77777777" w:rsidR="00B85031" w:rsidRDefault="004C2540">
      <w:pPr>
        <w:pStyle w:val="a4"/>
        <w:numPr>
          <w:ilvl w:val="0"/>
          <w:numId w:val="1"/>
        </w:numPr>
        <w:spacing w:after="0" w:line="360" w:lineRule="auto"/>
        <w:ind w:left="567" w:hanging="567"/>
        <w:rPr>
          <w:rFonts w:asciiTheme="minorEastAsia" w:eastAsiaTheme="minorEastAsia" w:hAnsiTheme="minorEastAsia" w:cstheme="minorEastAsia"/>
          <w:b/>
        </w:rPr>
      </w:pPr>
      <w:r>
        <w:rPr>
          <w:rFonts w:asciiTheme="minorEastAsia" w:eastAsiaTheme="minorEastAsia" w:hAnsiTheme="minorEastAsia" w:cstheme="minorEastAsia" w:hint="eastAsia"/>
          <w:b/>
        </w:rPr>
        <w:t>重大分歧意见的处理经过和依据</w:t>
      </w:r>
    </w:p>
    <w:p w14:paraId="1326EB0F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hint="eastAsia"/>
          <w:kern w:val="0"/>
          <w:sz w:val="24"/>
        </w:rPr>
        <w:t>无重大分歧意见。</w:t>
      </w:r>
    </w:p>
    <w:p w14:paraId="57145FC9" w14:textId="77777777" w:rsidR="00B85031" w:rsidRDefault="004C2540">
      <w:pPr>
        <w:pStyle w:val="a4"/>
        <w:numPr>
          <w:ilvl w:val="0"/>
          <w:numId w:val="1"/>
        </w:numPr>
        <w:spacing w:after="0" w:line="360" w:lineRule="auto"/>
        <w:ind w:left="567" w:hanging="567"/>
        <w:rPr>
          <w:rFonts w:asciiTheme="minorEastAsia" w:eastAsiaTheme="minorEastAsia" w:hAnsiTheme="minorEastAsia" w:cstheme="minorEastAsia"/>
          <w:b/>
        </w:rPr>
      </w:pPr>
      <w:r>
        <w:rPr>
          <w:rFonts w:asciiTheme="minorEastAsia" w:eastAsiaTheme="minorEastAsia" w:hAnsiTheme="minorEastAsia" w:cstheme="minorEastAsia" w:hint="eastAsia"/>
          <w:b/>
        </w:rPr>
        <w:t>涉及专利的有关说明</w:t>
      </w:r>
    </w:p>
    <w:p w14:paraId="43AB8AD8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本标准不涉及专利。</w:t>
      </w:r>
    </w:p>
    <w:p w14:paraId="26FA5EBB" w14:textId="77777777" w:rsidR="00B85031" w:rsidRDefault="004C2540">
      <w:pPr>
        <w:pStyle w:val="a4"/>
        <w:numPr>
          <w:ilvl w:val="0"/>
          <w:numId w:val="1"/>
        </w:numPr>
        <w:spacing w:after="0" w:line="360" w:lineRule="auto"/>
        <w:ind w:left="567" w:hanging="567"/>
        <w:rPr>
          <w:rFonts w:asciiTheme="minorEastAsia" w:eastAsiaTheme="minorEastAsia" w:hAnsiTheme="minorEastAsia" w:cstheme="minorEastAsia"/>
          <w:b/>
        </w:rPr>
      </w:pPr>
      <w:r>
        <w:rPr>
          <w:rFonts w:asciiTheme="minorEastAsia" w:eastAsiaTheme="minorEastAsia" w:hAnsiTheme="minorEastAsia" w:cstheme="minorEastAsia" w:hint="eastAsia"/>
          <w:b/>
        </w:rPr>
        <w:t>实施</w:t>
      </w:r>
      <w:r>
        <w:rPr>
          <w:rFonts w:asciiTheme="minorEastAsia" w:eastAsiaTheme="minorEastAsia" w:hAnsiTheme="minorEastAsia" w:cstheme="minorEastAsia"/>
          <w:b/>
        </w:rPr>
        <w:t>要求及建议</w:t>
      </w:r>
    </w:p>
    <w:p w14:paraId="6E10F2BD" w14:textId="77777777" w:rsidR="00B85031" w:rsidRDefault="004C2540">
      <w:pPr>
        <w:pStyle w:val="a4"/>
        <w:numPr>
          <w:ilvl w:val="0"/>
          <w:numId w:val="8"/>
        </w:numPr>
        <w:spacing w:after="0" w:line="360" w:lineRule="auto"/>
        <w:ind w:left="851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实施要求</w:t>
      </w:r>
    </w:p>
    <w:p w14:paraId="1B3D2F74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建议由标准归口单位组织标准宣贯培训班，提高标准的实施效果和效率。</w:t>
      </w:r>
    </w:p>
    <w:p w14:paraId="1552331C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建议本标准为推荐性行业标准。</w:t>
      </w:r>
    </w:p>
    <w:p w14:paraId="5348754C" w14:textId="77777777" w:rsidR="00B85031" w:rsidRDefault="004C2540">
      <w:pPr>
        <w:pStyle w:val="a4"/>
        <w:numPr>
          <w:ilvl w:val="0"/>
          <w:numId w:val="8"/>
        </w:numPr>
        <w:spacing w:after="0" w:line="360" w:lineRule="auto"/>
        <w:ind w:left="851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lastRenderedPageBreak/>
        <w:t>过渡期和实施日期建议</w:t>
      </w:r>
    </w:p>
    <w:p w14:paraId="1DC8D59B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标准发布后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个月实施。</w:t>
      </w:r>
    </w:p>
    <w:p w14:paraId="3CB74B7D" w14:textId="77777777" w:rsidR="00B85031" w:rsidRDefault="004C2540">
      <w:pPr>
        <w:pStyle w:val="a4"/>
        <w:numPr>
          <w:ilvl w:val="0"/>
          <w:numId w:val="1"/>
        </w:numPr>
        <w:spacing w:after="0" w:line="360" w:lineRule="auto"/>
        <w:ind w:left="567" w:hanging="567"/>
        <w:rPr>
          <w:rFonts w:asciiTheme="minorEastAsia" w:eastAsiaTheme="minorEastAsia" w:hAnsiTheme="minorEastAsia" w:cstheme="minorEastAsia"/>
          <w:b/>
        </w:rPr>
      </w:pPr>
      <w:r>
        <w:rPr>
          <w:rFonts w:asciiTheme="minorEastAsia" w:eastAsiaTheme="minorEastAsia" w:hAnsiTheme="minorEastAsia" w:cstheme="minorEastAsia" w:hint="eastAsia"/>
          <w:b/>
        </w:rPr>
        <w:t>其它应当说明的事项</w:t>
      </w:r>
    </w:p>
    <w:p w14:paraId="5ED7CC61" w14:textId="77777777" w:rsidR="00B85031" w:rsidRDefault="004C2540">
      <w:pPr>
        <w:adjustRightInd w:val="0"/>
        <w:snapToGrid w:val="0"/>
        <w:spacing w:after="0"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无。</w:t>
      </w:r>
    </w:p>
    <w:p w14:paraId="17C89A81" w14:textId="77777777" w:rsidR="00B85031" w:rsidRDefault="00B85031">
      <w:pPr>
        <w:adjustRightInd w:val="0"/>
        <w:snapToGrid w:val="0"/>
        <w:spacing w:after="0" w:line="360" w:lineRule="auto"/>
        <w:ind w:firstLineChars="200" w:firstLine="480"/>
        <w:rPr>
          <w:rFonts w:ascii="宋体" w:hAnsi="宋体" w:cs="宋体"/>
          <w:color w:val="0000FF"/>
          <w:sz w:val="24"/>
        </w:rPr>
      </w:pPr>
    </w:p>
    <w:p w14:paraId="05DC049C" w14:textId="77777777" w:rsidR="00B85031" w:rsidRDefault="00B85031">
      <w:pPr>
        <w:pStyle w:val="a4"/>
        <w:spacing w:after="0" w:line="360" w:lineRule="auto"/>
        <w:jc w:val="right"/>
        <w:rPr>
          <w:color w:val="0000FF"/>
          <w:szCs w:val="28"/>
        </w:rPr>
      </w:pPr>
    </w:p>
    <w:p w14:paraId="64A97B8F" w14:textId="77777777" w:rsidR="00B85031" w:rsidRDefault="004C2540">
      <w:pPr>
        <w:pStyle w:val="a4"/>
        <w:spacing w:after="0" w:line="360" w:lineRule="auto"/>
        <w:jc w:val="right"/>
        <w:rPr>
          <w:szCs w:val="28"/>
        </w:rPr>
      </w:pPr>
      <w:r>
        <w:rPr>
          <w:rFonts w:hint="eastAsia"/>
          <w:szCs w:val="28"/>
        </w:rPr>
        <w:t>《</w:t>
      </w:r>
      <w:r>
        <w:rPr>
          <w:rFonts w:hint="eastAsia"/>
        </w:rPr>
        <w:t>出版业人工智能应用指南</w:t>
      </w:r>
      <w:r>
        <w:rPr>
          <w:rFonts w:hint="eastAsia"/>
          <w:szCs w:val="28"/>
        </w:rPr>
        <w:t>》行业标准起草组</w:t>
      </w:r>
    </w:p>
    <w:p w14:paraId="54F60134" w14:textId="77777777" w:rsidR="00B85031" w:rsidRDefault="004C2540">
      <w:pPr>
        <w:pStyle w:val="a4"/>
        <w:spacing w:after="0" w:line="360" w:lineRule="auto"/>
        <w:jc w:val="right"/>
        <w:rPr>
          <w:rFonts w:asciiTheme="minorEastAsia" w:eastAsiaTheme="minorEastAsia" w:hAnsiTheme="minorEastAsia" w:cstheme="minorEastAsia"/>
          <w:b/>
          <w:color w:val="0000FF"/>
        </w:rPr>
      </w:pPr>
      <w:r>
        <w:rPr>
          <w:szCs w:val="28"/>
        </w:rPr>
        <w:t>202</w:t>
      </w:r>
      <w:r>
        <w:rPr>
          <w:rFonts w:hint="eastAsia"/>
          <w:szCs w:val="28"/>
        </w:rPr>
        <w:t>6</w:t>
      </w:r>
      <w:r>
        <w:rPr>
          <w:rFonts w:hint="eastAsia"/>
          <w:szCs w:val="28"/>
        </w:rPr>
        <w:t>年</w:t>
      </w:r>
      <w:r>
        <w:rPr>
          <w:rFonts w:hint="eastAsia"/>
          <w:szCs w:val="28"/>
        </w:rPr>
        <w:t>6</w:t>
      </w:r>
      <w:r>
        <w:rPr>
          <w:rFonts w:hint="eastAsia"/>
          <w:szCs w:val="28"/>
        </w:rPr>
        <w:t>月</w:t>
      </w:r>
      <w:r>
        <w:rPr>
          <w:rFonts w:hint="eastAsia"/>
          <w:szCs w:val="28"/>
        </w:rPr>
        <w:t xml:space="preserve"> </w:t>
      </w:r>
      <w:r>
        <w:rPr>
          <w:szCs w:val="28"/>
        </w:rPr>
        <w:t xml:space="preserve">   </w:t>
      </w:r>
      <w:r>
        <w:rPr>
          <w:color w:val="0000FF"/>
          <w:szCs w:val="28"/>
        </w:rPr>
        <w:t xml:space="preserve">           </w:t>
      </w:r>
    </w:p>
    <w:sectPr w:rsidR="00B85031">
      <w:headerReference w:type="default" r:id="rId7"/>
      <w:footerReference w:type="default" r:id="rId8"/>
      <w:type w:val="continuous"/>
      <w:pgSz w:w="11909" w:h="16834"/>
      <w:pgMar w:top="1440" w:right="1800" w:bottom="1440" w:left="1800" w:header="907" w:footer="907" w:gutter="0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181D4A" w14:textId="77777777" w:rsidR="004C2540" w:rsidRDefault="004C2540">
      <w:pPr>
        <w:spacing w:line="240" w:lineRule="auto"/>
      </w:pPr>
      <w:r>
        <w:separator/>
      </w:r>
    </w:p>
  </w:endnote>
  <w:endnote w:type="continuationSeparator" w:id="0">
    <w:p w14:paraId="6720CA6D" w14:textId="77777777" w:rsidR="004C2540" w:rsidRDefault="004C25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575996"/>
    </w:sdtPr>
    <w:sdtEndPr/>
    <w:sdtContent>
      <w:p w14:paraId="31ACF572" w14:textId="77777777" w:rsidR="00B85031" w:rsidRDefault="004C254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1AAC" w:rsidRPr="00AF1AAC">
          <w:rPr>
            <w:noProof/>
            <w:lang w:val="zh-CN"/>
          </w:rPr>
          <w:t>6</w:t>
        </w:r>
        <w:r>
          <w:fldChar w:fldCharType="end"/>
        </w:r>
      </w:p>
    </w:sdtContent>
  </w:sdt>
  <w:p w14:paraId="5350DFC5" w14:textId="77777777" w:rsidR="00B85031" w:rsidRDefault="00B8503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546311" w14:textId="77777777" w:rsidR="004C2540" w:rsidRDefault="004C2540">
      <w:pPr>
        <w:spacing w:after="0"/>
      </w:pPr>
      <w:r>
        <w:separator/>
      </w:r>
    </w:p>
  </w:footnote>
  <w:footnote w:type="continuationSeparator" w:id="0">
    <w:p w14:paraId="772AD3BC" w14:textId="77777777" w:rsidR="004C2540" w:rsidRDefault="004C25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D19FC" w14:textId="77777777" w:rsidR="00B85031" w:rsidRDefault="00B85031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B7CA0"/>
    <w:multiLevelType w:val="multilevel"/>
    <w:tmpl w:val="04DB7CA0"/>
    <w:lvl w:ilvl="0">
      <w:start w:val="1"/>
      <w:numFmt w:val="japaneseCounting"/>
      <w:lvlText w:val="（%1）"/>
      <w:lvlJc w:val="left"/>
      <w:pPr>
        <w:ind w:left="1416" w:hanging="8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1" w:hanging="420"/>
      </w:pPr>
    </w:lvl>
    <w:lvl w:ilvl="2">
      <w:start w:val="1"/>
      <w:numFmt w:val="lowerRoman"/>
      <w:lvlText w:val="%3."/>
      <w:lvlJc w:val="right"/>
      <w:pPr>
        <w:ind w:left="1821" w:hanging="420"/>
      </w:pPr>
    </w:lvl>
    <w:lvl w:ilvl="3">
      <w:start w:val="1"/>
      <w:numFmt w:val="decimal"/>
      <w:lvlText w:val="%4."/>
      <w:lvlJc w:val="left"/>
      <w:pPr>
        <w:ind w:left="2241" w:hanging="420"/>
      </w:pPr>
    </w:lvl>
    <w:lvl w:ilvl="4">
      <w:start w:val="1"/>
      <w:numFmt w:val="lowerLetter"/>
      <w:lvlText w:val="%5)"/>
      <w:lvlJc w:val="left"/>
      <w:pPr>
        <w:ind w:left="2661" w:hanging="420"/>
      </w:pPr>
    </w:lvl>
    <w:lvl w:ilvl="5">
      <w:start w:val="1"/>
      <w:numFmt w:val="lowerRoman"/>
      <w:lvlText w:val="%6."/>
      <w:lvlJc w:val="right"/>
      <w:pPr>
        <w:ind w:left="3081" w:hanging="420"/>
      </w:pPr>
    </w:lvl>
    <w:lvl w:ilvl="6">
      <w:start w:val="1"/>
      <w:numFmt w:val="decimal"/>
      <w:lvlText w:val="%7."/>
      <w:lvlJc w:val="left"/>
      <w:pPr>
        <w:ind w:left="3501" w:hanging="420"/>
      </w:pPr>
    </w:lvl>
    <w:lvl w:ilvl="7">
      <w:start w:val="1"/>
      <w:numFmt w:val="lowerLetter"/>
      <w:lvlText w:val="%8)"/>
      <w:lvlJc w:val="left"/>
      <w:pPr>
        <w:ind w:left="3921" w:hanging="420"/>
      </w:pPr>
    </w:lvl>
    <w:lvl w:ilvl="8">
      <w:start w:val="1"/>
      <w:numFmt w:val="lowerRoman"/>
      <w:lvlText w:val="%9."/>
      <w:lvlJc w:val="right"/>
      <w:pPr>
        <w:ind w:left="4341" w:hanging="420"/>
      </w:pPr>
    </w:lvl>
  </w:abstractNum>
  <w:abstractNum w:abstractNumId="1">
    <w:nsid w:val="3C233ABC"/>
    <w:multiLevelType w:val="multilevel"/>
    <w:tmpl w:val="3C233ABC"/>
    <w:lvl w:ilvl="0">
      <w:start w:val="1"/>
      <w:numFmt w:val="japaneseCounting"/>
      <w:lvlText w:val="（%1）"/>
      <w:lvlJc w:val="left"/>
      <w:pPr>
        <w:ind w:left="1410" w:hanging="8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95" w:hanging="420"/>
      </w:pPr>
    </w:lvl>
    <w:lvl w:ilvl="2">
      <w:start w:val="1"/>
      <w:numFmt w:val="lowerRoman"/>
      <w:lvlText w:val="%3."/>
      <w:lvlJc w:val="right"/>
      <w:pPr>
        <w:ind w:left="1815" w:hanging="420"/>
      </w:pPr>
    </w:lvl>
    <w:lvl w:ilvl="3">
      <w:start w:val="1"/>
      <w:numFmt w:val="decimal"/>
      <w:lvlText w:val="%4."/>
      <w:lvlJc w:val="left"/>
      <w:pPr>
        <w:ind w:left="2235" w:hanging="420"/>
      </w:pPr>
    </w:lvl>
    <w:lvl w:ilvl="4">
      <w:start w:val="1"/>
      <w:numFmt w:val="lowerLetter"/>
      <w:lvlText w:val="%5)"/>
      <w:lvlJc w:val="left"/>
      <w:pPr>
        <w:ind w:left="2655" w:hanging="420"/>
      </w:pPr>
    </w:lvl>
    <w:lvl w:ilvl="5">
      <w:start w:val="1"/>
      <w:numFmt w:val="lowerRoman"/>
      <w:lvlText w:val="%6."/>
      <w:lvlJc w:val="right"/>
      <w:pPr>
        <w:ind w:left="3075" w:hanging="420"/>
      </w:pPr>
    </w:lvl>
    <w:lvl w:ilvl="6">
      <w:start w:val="1"/>
      <w:numFmt w:val="decimal"/>
      <w:lvlText w:val="%7."/>
      <w:lvlJc w:val="left"/>
      <w:pPr>
        <w:ind w:left="3495" w:hanging="420"/>
      </w:pPr>
    </w:lvl>
    <w:lvl w:ilvl="7">
      <w:start w:val="1"/>
      <w:numFmt w:val="lowerLetter"/>
      <w:lvlText w:val="%8)"/>
      <w:lvlJc w:val="left"/>
      <w:pPr>
        <w:ind w:left="3915" w:hanging="420"/>
      </w:pPr>
    </w:lvl>
    <w:lvl w:ilvl="8">
      <w:start w:val="1"/>
      <w:numFmt w:val="lowerRoman"/>
      <w:lvlText w:val="%9."/>
      <w:lvlJc w:val="right"/>
      <w:pPr>
        <w:ind w:left="4335" w:hanging="420"/>
      </w:pPr>
    </w:lvl>
  </w:abstractNum>
  <w:abstractNum w:abstractNumId="2">
    <w:nsid w:val="3F1D097D"/>
    <w:multiLevelType w:val="multilevel"/>
    <w:tmpl w:val="3F1D097D"/>
    <w:lvl w:ilvl="0">
      <w:start w:val="1"/>
      <w:numFmt w:val="japaneseCounting"/>
      <w:lvlText w:val="%1、"/>
      <w:lvlJc w:val="left"/>
      <w:pPr>
        <w:ind w:left="1281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1" w:hanging="420"/>
      </w:pPr>
    </w:lvl>
    <w:lvl w:ilvl="2">
      <w:start w:val="1"/>
      <w:numFmt w:val="lowerRoman"/>
      <w:lvlText w:val="%3."/>
      <w:lvlJc w:val="right"/>
      <w:pPr>
        <w:ind w:left="1821" w:hanging="420"/>
      </w:pPr>
    </w:lvl>
    <w:lvl w:ilvl="3">
      <w:start w:val="1"/>
      <w:numFmt w:val="decimal"/>
      <w:lvlText w:val="%4."/>
      <w:lvlJc w:val="left"/>
      <w:pPr>
        <w:ind w:left="2241" w:hanging="420"/>
      </w:pPr>
    </w:lvl>
    <w:lvl w:ilvl="4">
      <w:start w:val="1"/>
      <w:numFmt w:val="lowerLetter"/>
      <w:lvlText w:val="%5)"/>
      <w:lvlJc w:val="left"/>
      <w:pPr>
        <w:ind w:left="2661" w:hanging="420"/>
      </w:pPr>
    </w:lvl>
    <w:lvl w:ilvl="5">
      <w:start w:val="1"/>
      <w:numFmt w:val="lowerRoman"/>
      <w:lvlText w:val="%6."/>
      <w:lvlJc w:val="right"/>
      <w:pPr>
        <w:ind w:left="3081" w:hanging="420"/>
      </w:pPr>
    </w:lvl>
    <w:lvl w:ilvl="6">
      <w:start w:val="1"/>
      <w:numFmt w:val="decimal"/>
      <w:lvlText w:val="%7."/>
      <w:lvlJc w:val="left"/>
      <w:pPr>
        <w:ind w:left="3501" w:hanging="420"/>
      </w:pPr>
    </w:lvl>
    <w:lvl w:ilvl="7">
      <w:start w:val="1"/>
      <w:numFmt w:val="lowerLetter"/>
      <w:lvlText w:val="%8)"/>
      <w:lvlJc w:val="left"/>
      <w:pPr>
        <w:ind w:left="3921" w:hanging="420"/>
      </w:pPr>
    </w:lvl>
    <w:lvl w:ilvl="8">
      <w:start w:val="1"/>
      <w:numFmt w:val="lowerRoman"/>
      <w:lvlText w:val="%9."/>
      <w:lvlJc w:val="right"/>
      <w:pPr>
        <w:ind w:left="4341" w:hanging="420"/>
      </w:pPr>
    </w:lvl>
  </w:abstractNum>
  <w:abstractNum w:abstractNumId="3">
    <w:nsid w:val="452A1384"/>
    <w:multiLevelType w:val="multilevel"/>
    <w:tmpl w:val="452A1384"/>
    <w:lvl w:ilvl="0">
      <w:start w:val="1"/>
      <w:numFmt w:val="japaneseCounting"/>
      <w:lvlText w:val="（%1）"/>
      <w:lvlJc w:val="left"/>
      <w:pPr>
        <w:ind w:left="1416" w:hanging="8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1" w:hanging="420"/>
      </w:pPr>
    </w:lvl>
    <w:lvl w:ilvl="2">
      <w:start w:val="1"/>
      <w:numFmt w:val="lowerRoman"/>
      <w:lvlText w:val="%3."/>
      <w:lvlJc w:val="right"/>
      <w:pPr>
        <w:ind w:left="1821" w:hanging="420"/>
      </w:pPr>
    </w:lvl>
    <w:lvl w:ilvl="3">
      <w:start w:val="1"/>
      <w:numFmt w:val="decimal"/>
      <w:lvlText w:val="%4."/>
      <w:lvlJc w:val="left"/>
      <w:pPr>
        <w:ind w:left="2241" w:hanging="420"/>
      </w:pPr>
    </w:lvl>
    <w:lvl w:ilvl="4">
      <w:start w:val="1"/>
      <w:numFmt w:val="lowerLetter"/>
      <w:lvlText w:val="%5)"/>
      <w:lvlJc w:val="left"/>
      <w:pPr>
        <w:ind w:left="2661" w:hanging="420"/>
      </w:pPr>
    </w:lvl>
    <w:lvl w:ilvl="5">
      <w:start w:val="1"/>
      <w:numFmt w:val="lowerRoman"/>
      <w:lvlText w:val="%6."/>
      <w:lvlJc w:val="right"/>
      <w:pPr>
        <w:ind w:left="3081" w:hanging="420"/>
      </w:pPr>
    </w:lvl>
    <w:lvl w:ilvl="6">
      <w:start w:val="1"/>
      <w:numFmt w:val="decimal"/>
      <w:lvlText w:val="%7."/>
      <w:lvlJc w:val="left"/>
      <w:pPr>
        <w:ind w:left="3501" w:hanging="420"/>
      </w:pPr>
    </w:lvl>
    <w:lvl w:ilvl="7">
      <w:start w:val="1"/>
      <w:numFmt w:val="lowerLetter"/>
      <w:lvlText w:val="%8)"/>
      <w:lvlJc w:val="left"/>
      <w:pPr>
        <w:ind w:left="3921" w:hanging="420"/>
      </w:pPr>
    </w:lvl>
    <w:lvl w:ilvl="8">
      <w:start w:val="1"/>
      <w:numFmt w:val="lowerRoman"/>
      <w:lvlText w:val="%9."/>
      <w:lvlJc w:val="right"/>
      <w:pPr>
        <w:ind w:left="4341" w:hanging="420"/>
      </w:pPr>
    </w:lvl>
  </w:abstractNum>
  <w:abstractNum w:abstractNumId="4">
    <w:nsid w:val="4F18075C"/>
    <w:multiLevelType w:val="multilevel"/>
    <w:tmpl w:val="4F18075C"/>
    <w:lvl w:ilvl="0">
      <w:start w:val="1"/>
      <w:numFmt w:val="japaneseCounting"/>
      <w:lvlText w:val="（%1）"/>
      <w:lvlJc w:val="left"/>
      <w:pPr>
        <w:ind w:left="1416" w:hanging="8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1" w:hanging="420"/>
      </w:pPr>
    </w:lvl>
    <w:lvl w:ilvl="2">
      <w:start w:val="1"/>
      <w:numFmt w:val="lowerRoman"/>
      <w:lvlText w:val="%3."/>
      <w:lvlJc w:val="right"/>
      <w:pPr>
        <w:ind w:left="1821" w:hanging="420"/>
      </w:pPr>
    </w:lvl>
    <w:lvl w:ilvl="3">
      <w:start w:val="1"/>
      <w:numFmt w:val="decimal"/>
      <w:lvlText w:val="%4."/>
      <w:lvlJc w:val="left"/>
      <w:pPr>
        <w:ind w:left="2241" w:hanging="420"/>
      </w:pPr>
    </w:lvl>
    <w:lvl w:ilvl="4">
      <w:start w:val="1"/>
      <w:numFmt w:val="lowerLetter"/>
      <w:lvlText w:val="%5)"/>
      <w:lvlJc w:val="left"/>
      <w:pPr>
        <w:ind w:left="2661" w:hanging="420"/>
      </w:pPr>
    </w:lvl>
    <w:lvl w:ilvl="5">
      <w:start w:val="1"/>
      <w:numFmt w:val="lowerRoman"/>
      <w:lvlText w:val="%6."/>
      <w:lvlJc w:val="right"/>
      <w:pPr>
        <w:ind w:left="3081" w:hanging="420"/>
      </w:pPr>
    </w:lvl>
    <w:lvl w:ilvl="6">
      <w:start w:val="1"/>
      <w:numFmt w:val="decimal"/>
      <w:lvlText w:val="%7."/>
      <w:lvlJc w:val="left"/>
      <w:pPr>
        <w:ind w:left="3501" w:hanging="420"/>
      </w:pPr>
    </w:lvl>
    <w:lvl w:ilvl="7">
      <w:start w:val="1"/>
      <w:numFmt w:val="lowerLetter"/>
      <w:lvlText w:val="%8)"/>
      <w:lvlJc w:val="left"/>
      <w:pPr>
        <w:ind w:left="3921" w:hanging="420"/>
      </w:pPr>
    </w:lvl>
    <w:lvl w:ilvl="8">
      <w:start w:val="1"/>
      <w:numFmt w:val="lowerRoman"/>
      <w:lvlText w:val="%9."/>
      <w:lvlJc w:val="right"/>
      <w:pPr>
        <w:ind w:left="4341" w:hanging="420"/>
      </w:pPr>
    </w:lvl>
  </w:abstractNum>
  <w:abstractNum w:abstractNumId="5">
    <w:nsid w:val="5E0D5708"/>
    <w:multiLevelType w:val="multilevel"/>
    <w:tmpl w:val="5E0D5708"/>
    <w:lvl w:ilvl="0">
      <w:start w:val="1"/>
      <w:numFmt w:val="japaneseCounting"/>
      <w:lvlText w:val="（%1）"/>
      <w:lvlJc w:val="left"/>
      <w:pPr>
        <w:ind w:left="1410" w:hanging="8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95" w:hanging="420"/>
      </w:pPr>
    </w:lvl>
    <w:lvl w:ilvl="2">
      <w:start w:val="1"/>
      <w:numFmt w:val="lowerRoman"/>
      <w:lvlText w:val="%3."/>
      <w:lvlJc w:val="right"/>
      <w:pPr>
        <w:ind w:left="1815" w:hanging="420"/>
      </w:pPr>
    </w:lvl>
    <w:lvl w:ilvl="3">
      <w:start w:val="1"/>
      <w:numFmt w:val="decimal"/>
      <w:lvlText w:val="%4."/>
      <w:lvlJc w:val="left"/>
      <w:pPr>
        <w:ind w:left="2235" w:hanging="420"/>
      </w:pPr>
    </w:lvl>
    <w:lvl w:ilvl="4">
      <w:start w:val="1"/>
      <w:numFmt w:val="lowerLetter"/>
      <w:lvlText w:val="%5)"/>
      <w:lvlJc w:val="left"/>
      <w:pPr>
        <w:ind w:left="2655" w:hanging="420"/>
      </w:pPr>
    </w:lvl>
    <w:lvl w:ilvl="5">
      <w:start w:val="1"/>
      <w:numFmt w:val="lowerRoman"/>
      <w:lvlText w:val="%6."/>
      <w:lvlJc w:val="right"/>
      <w:pPr>
        <w:ind w:left="3075" w:hanging="420"/>
      </w:pPr>
    </w:lvl>
    <w:lvl w:ilvl="6">
      <w:start w:val="1"/>
      <w:numFmt w:val="decimal"/>
      <w:lvlText w:val="%7."/>
      <w:lvlJc w:val="left"/>
      <w:pPr>
        <w:ind w:left="3495" w:hanging="420"/>
      </w:pPr>
    </w:lvl>
    <w:lvl w:ilvl="7">
      <w:start w:val="1"/>
      <w:numFmt w:val="lowerLetter"/>
      <w:lvlText w:val="%8)"/>
      <w:lvlJc w:val="left"/>
      <w:pPr>
        <w:ind w:left="3915" w:hanging="420"/>
      </w:pPr>
    </w:lvl>
    <w:lvl w:ilvl="8">
      <w:start w:val="1"/>
      <w:numFmt w:val="lowerRoman"/>
      <w:lvlText w:val="%9."/>
      <w:lvlJc w:val="right"/>
      <w:pPr>
        <w:ind w:left="4335" w:hanging="420"/>
      </w:pPr>
    </w:lvl>
  </w:abstractNum>
  <w:abstractNum w:abstractNumId="6">
    <w:nsid w:val="668F4DBB"/>
    <w:multiLevelType w:val="singleLevel"/>
    <w:tmpl w:val="668F4DBB"/>
    <w:lvl w:ilvl="0">
      <w:start w:val="1"/>
      <w:numFmt w:val="decimal"/>
      <w:suff w:val="nothing"/>
      <w:lvlText w:val="%1."/>
      <w:lvlJc w:val="left"/>
    </w:lvl>
  </w:abstractNum>
  <w:abstractNum w:abstractNumId="7">
    <w:nsid w:val="784C4012"/>
    <w:multiLevelType w:val="multilevel"/>
    <w:tmpl w:val="784C4012"/>
    <w:lvl w:ilvl="0">
      <w:start w:val="1"/>
      <w:numFmt w:val="japaneseCounting"/>
      <w:lvlText w:val="（%1）"/>
      <w:lvlJc w:val="left"/>
      <w:pPr>
        <w:ind w:left="1416" w:hanging="8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1" w:hanging="420"/>
      </w:pPr>
    </w:lvl>
    <w:lvl w:ilvl="2">
      <w:start w:val="1"/>
      <w:numFmt w:val="lowerRoman"/>
      <w:lvlText w:val="%3."/>
      <w:lvlJc w:val="right"/>
      <w:pPr>
        <w:ind w:left="1821" w:hanging="420"/>
      </w:pPr>
    </w:lvl>
    <w:lvl w:ilvl="3">
      <w:start w:val="1"/>
      <w:numFmt w:val="decimal"/>
      <w:lvlText w:val="%4."/>
      <w:lvlJc w:val="left"/>
      <w:pPr>
        <w:ind w:left="2241" w:hanging="420"/>
      </w:pPr>
    </w:lvl>
    <w:lvl w:ilvl="4">
      <w:start w:val="1"/>
      <w:numFmt w:val="lowerLetter"/>
      <w:lvlText w:val="%5)"/>
      <w:lvlJc w:val="left"/>
      <w:pPr>
        <w:ind w:left="2661" w:hanging="420"/>
      </w:pPr>
    </w:lvl>
    <w:lvl w:ilvl="5">
      <w:start w:val="1"/>
      <w:numFmt w:val="lowerRoman"/>
      <w:lvlText w:val="%6."/>
      <w:lvlJc w:val="right"/>
      <w:pPr>
        <w:ind w:left="3081" w:hanging="420"/>
      </w:pPr>
    </w:lvl>
    <w:lvl w:ilvl="6">
      <w:start w:val="1"/>
      <w:numFmt w:val="decimal"/>
      <w:lvlText w:val="%7."/>
      <w:lvlJc w:val="left"/>
      <w:pPr>
        <w:ind w:left="3501" w:hanging="420"/>
      </w:pPr>
    </w:lvl>
    <w:lvl w:ilvl="7">
      <w:start w:val="1"/>
      <w:numFmt w:val="lowerLetter"/>
      <w:lvlText w:val="%8)"/>
      <w:lvlJc w:val="left"/>
      <w:pPr>
        <w:ind w:left="3921" w:hanging="420"/>
      </w:pPr>
    </w:lvl>
    <w:lvl w:ilvl="8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embedSystemFonts/>
  <w:bordersDoNotSurroundHeader/>
  <w:bordersDoNotSurroundFooter/>
  <w:defaultTabStop w:val="420"/>
  <w:drawingGridHorizontalSpacing w:val="105"/>
  <w:drawingGridVerticalSpacing w:val="143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88F"/>
    <w:rsid w:val="B5D5B476"/>
    <w:rsid w:val="BEDD474B"/>
    <w:rsid w:val="C7833F1A"/>
    <w:rsid w:val="E5DEE55E"/>
    <w:rsid w:val="FFFFF76B"/>
    <w:rsid w:val="00092BC6"/>
    <w:rsid w:val="000B2AC2"/>
    <w:rsid w:val="000C0E4C"/>
    <w:rsid w:val="000E5F6B"/>
    <w:rsid w:val="00120FB1"/>
    <w:rsid w:val="00126D49"/>
    <w:rsid w:val="001947FB"/>
    <w:rsid w:val="001A2B68"/>
    <w:rsid w:val="001A4D30"/>
    <w:rsid w:val="001B0565"/>
    <w:rsid w:val="001C1438"/>
    <w:rsid w:val="001C3193"/>
    <w:rsid w:val="001F6ED4"/>
    <w:rsid w:val="00202B0F"/>
    <w:rsid w:val="00211BB0"/>
    <w:rsid w:val="00212885"/>
    <w:rsid w:val="002319B3"/>
    <w:rsid w:val="00264EF4"/>
    <w:rsid w:val="002724BC"/>
    <w:rsid w:val="002A1C8C"/>
    <w:rsid w:val="002A4AE6"/>
    <w:rsid w:val="002C45FA"/>
    <w:rsid w:val="002C5F30"/>
    <w:rsid w:val="00304561"/>
    <w:rsid w:val="003158C4"/>
    <w:rsid w:val="0032454F"/>
    <w:rsid w:val="00334395"/>
    <w:rsid w:val="00342285"/>
    <w:rsid w:val="00361FDB"/>
    <w:rsid w:val="003A4498"/>
    <w:rsid w:val="003D4B17"/>
    <w:rsid w:val="003F63E6"/>
    <w:rsid w:val="004236B9"/>
    <w:rsid w:val="0043205A"/>
    <w:rsid w:val="00441E7D"/>
    <w:rsid w:val="004709DF"/>
    <w:rsid w:val="00487244"/>
    <w:rsid w:val="0049508B"/>
    <w:rsid w:val="00495802"/>
    <w:rsid w:val="004A1202"/>
    <w:rsid w:val="004B24B3"/>
    <w:rsid w:val="004C2540"/>
    <w:rsid w:val="004C308B"/>
    <w:rsid w:val="004D22F2"/>
    <w:rsid w:val="004D24EB"/>
    <w:rsid w:val="004F142C"/>
    <w:rsid w:val="00507451"/>
    <w:rsid w:val="00511141"/>
    <w:rsid w:val="005319CD"/>
    <w:rsid w:val="00532FB3"/>
    <w:rsid w:val="0058548C"/>
    <w:rsid w:val="00593844"/>
    <w:rsid w:val="005C4DD4"/>
    <w:rsid w:val="005D782E"/>
    <w:rsid w:val="005F12B3"/>
    <w:rsid w:val="005F4460"/>
    <w:rsid w:val="0060343B"/>
    <w:rsid w:val="00630D57"/>
    <w:rsid w:val="00640A76"/>
    <w:rsid w:val="00644D67"/>
    <w:rsid w:val="0067242E"/>
    <w:rsid w:val="006A7CE4"/>
    <w:rsid w:val="006B3D8C"/>
    <w:rsid w:val="006D60D0"/>
    <w:rsid w:val="006F0C60"/>
    <w:rsid w:val="006F6683"/>
    <w:rsid w:val="007012A1"/>
    <w:rsid w:val="00715E9E"/>
    <w:rsid w:val="00724BE6"/>
    <w:rsid w:val="00742697"/>
    <w:rsid w:val="00754FE9"/>
    <w:rsid w:val="0077539F"/>
    <w:rsid w:val="00776D2A"/>
    <w:rsid w:val="007C3E2A"/>
    <w:rsid w:val="007D530E"/>
    <w:rsid w:val="007E0FBB"/>
    <w:rsid w:val="007F1010"/>
    <w:rsid w:val="00812A15"/>
    <w:rsid w:val="008167FA"/>
    <w:rsid w:val="00834366"/>
    <w:rsid w:val="008572FC"/>
    <w:rsid w:val="00864B58"/>
    <w:rsid w:val="00865E9D"/>
    <w:rsid w:val="00880BDE"/>
    <w:rsid w:val="008B1192"/>
    <w:rsid w:val="008B6CA1"/>
    <w:rsid w:val="008C361E"/>
    <w:rsid w:val="008C6474"/>
    <w:rsid w:val="008D25EE"/>
    <w:rsid w:val="008D3023"/>
    <w:rsid w:val="008D516C"/>
    <w:rsid w:val="008D7CFC"/>
    <w:rsid w:val="008F591F"/>
    <w:rsid w:val="00910AEA"/>
    <w:rsid w:val="00947154"/>
    <w:rsid w:val="00955A85"/>
    <w:rsid w:val="00957340"/>
    <w:rsid w:val="009863D1"/>
    <w:rsid w:val="009A5FA3"/>
    <w:rsid w:val="00A20D70"/>
    <w:rsid w:val="00A452FE"/>
    <w:rsid w:val="00A56A75"/>
    <w:rsid w:val="00A618D3"/>
    <w:rsid w:val="00A7231E"/>
    <w:rsid w:val="00A8231B"/>
    <w:rsid w:val="00A83D84"/>
    <w:rsid w:val="00AB084F"/>
    <w:rsid w:val="00AF1AAC"/>
    <w:rsid w:val="00B47D74"/>
    <w:rsid w:val="00B558A9"/>
    <w:rsid w:val="00B627FD"/>
    <w:rsid w:val="00B62BC9"/>
    <w:rsid w:val="00B77259"/>
    <w:rsid w:val="00B85031"/>
    <w:rsid w:val="00B87574"/>
    <w:rsid w:val="00BA388F"/>
    <w:rsid w:val="00BB71C2"/>
    <w:rsid w:val="00BE0314"/>
    <w:rsid w:val="00BE6194"/>
    <w:rsid w:val="00BF3006"/>
    <w:rsid w:val="00BF4099"/>
    <w:rsid w:val="00BF4F76"/>
    <w:rsid w:val="00C36A50"/>
    <w:rsid w:val="00C46509"/>
    <w:rsid w:val="00C76CDD"/>
    <w:rsid w:val="00C87C04"/>
    <w:rsid w:val="00CA11F6"/>
    <w:rsid w:val="00CB1849"/>
    <w:rsid w:val="00CC21F8"/>
    <w:rsid w:val="00D0526E"/>
    <w:rsid w:val="00D118FB"/>
    <w:rsid w:val="00D37916"/>
    <w:rsid w:val="00D45422"/>
    <w:rsid w:val="00D5161A"/>
    <w:rsid w:val="00D544A8"/>
    <w:rsid w:val="00D635C8"/>
    <w:rsid w:val="00D65378"/>
    <w:rsid w:val="00D9046E"/>
    <w:rsid w:val="00DA7E4A"/>
    <w:rsid w:val="00DB5FC6"/>
    <w:rsid w:val="00DD0612"/>
    <w:rsid w:val="00DD7FBE"/>
    <w:rsid w:val="00DE007B"/>
    <w:rsid w:val="00E001EB"/>
    <w:rsid w:val="00E07173"/>
    <w:rsid w:val="00E22815"/>
    <w:rsid w:val="00E230AD"/>
    <w:rsid w:val="00E46D81"/>
    <w:rsid w:val="00E4762D"/>
    <w:rsid w:val="00E94FB8"/>
    <w:rsid w:val="00EA2C33"/>
    <w:rsid w:val="00EA3B2C"/>
    <w:rsid w:val="00EB110E"/>
    <w:rsid w:val="00F00E7F"/>
    <w:rsid w:val="00F10145"/>
    <w:rsid w:val="00F124CB"/>
    <w:rsid w:val="00F1657A"/>
    <w:rsid w:val="00F17223"/>
    <w:rsid w:val="00F27A52"/>
    <w:rsid w:val="00F63DB6"/>
    <w:rsid w:val="00F9520D"/>
    <w:rsid w:val="00FA1A12"/>
    <w:rsid w:val="00FA7014"/>
    <w:rsid w:val="00FC41B4"/>
    <w:rsid w:val="00FC72FA"/>
    <w:rsid w:val="00FE388D"/>
    <w:rsid w:val="00FF6405"/>
    <w:rsid w:val="00FF6A26"/>
    <w:rsid w:val="00FF75D0"/>
    <w:rsid w:val="1CAC6F9B"/>
    <w:rsid w:val="1FEBC032"/>
    <w:rsid w:val="22C42EA5"/>
    <w:rsid w:val="504D1DAB"/>
    <w:rsid w:val="516E0F52"/>
    <w:rsid w:val="58ED4387"/>
    <w:rsid w:val="5CC826A5"/>
    <w:rsid w:val="604C5D7D"/>
    <w:rsid w:val="7ED5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290F6EA-56D4-4D70-BFC6-74B376633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78" w:lineRule="auto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unhideWhenUsed/>
    <w:pPr>
      <w:jc w:val="left"/>
    </w:pPr>
  </w:style>
  <w:style w:type="paragraph" w:styleId="a4">
    <w:name w:val="Body Text"/>
    <w:basedOn w:val="a"/>
    <w:qFormat/>
    <w:pPr>
      <w:spacing w:line="400" w:lineRule="exact"/>
    </w:pPr>
    <w:rPr>
      <w:sz w:val="24"/>
    </w:rPr>
  </w:style>
  <w:style w:type="paragraph" w:styleId="a5">
    <w:name w:val="Body Text Indent"/>
    <w:basedOn w:val="a"/>
    <w:qFormat/>
    <w:pPr>
      <w:spacing w:line="480" w:lineRule="exact"/>
      <w:ind w:left="480" w:hangingChars="200" w:hanging="480"/>
    </w:pPr>
    <w:rPr>
      <w:sz w:val="24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qFormat/>
    <w:pPr>
      <w:spacing w:line="480" w:lineRule="exact"/>
    </w:pPr>
    <w:rPr>
      <w:sz w:val="28"/>
    </w:rPr>
  </w:style>
  <w:style w:type="paragraph" w:styleId="a9">
    <w:name w:val="annotation subject"/>
    <w:basedOn w:val="a3"/>
    <w:next w:val="a3"/>
    <w:link w:val="Char2"/>
    <w:semiHidden/>
    <w:unhideWhenUsed/>
    <w:rPr>
      <w:b/>
      <w:bCs/>
    </w:rPr>
  </w:style>
  <w:style w:type="character" w:styleId="aa">
    <w:name w:val="Strong"/>
    <w:basedOn w:val="a0"/>
    <w:qFormat/>
    <w:rPr>
      <w:b/>
    </w:rPr>
  </w:style>
  <w:style w:type="character" w:styleId="ab">
    <w:name w:val="annotation reference"/>
    <w:basedOn w:val="a0"/>
    <w:semiHidden/>
    <w:unhideWhenUsed/>
    <w:rPr>
      <w:sz w:val="21"/>
      <w:szCs w:val="21"/>
    </w:rPr>
  </w:style>
  <w:style w:type="character" w:customStyle="1" w:styleId="Char1">
    <w:name w:val="页眉 Char"/>
    <w:basedOn w:val="a0"/>
    <w:link w:val="a8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7"/>
    <w:uiPriority w:val="99"/>
    <w:qFormat/>
    <w:rPr>
      <w:kern w:val="2"/>
      <w:sz w:val="18"/>
      <w:szCs w:val="18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customStyle="1" w:styleId="CharCharCharCharCharCharChar">
    <w:name w:val="Char Char Char Char Char Char Char"/>
    <w:basedOn w:val="a"/>
    <w:qFormat/>
    <w:pPr>
      <w:ind w:firstLineChars="192" w:firstLine="538"/>
    </w:pPr>
    <w:rPr>
      <w:rFonts w:ascii="黑体" w:eastAsia="黑体" w:hAnsi="宋体"/>
      <w:b/>
      <w:color w:val="000000"/>
      <w:kern w:val="24"/>
      <w:sz w:val="28"/>
      <w:szCs w:val="28"/>
    </w:rPr>
  </w:style>
  <w:style w:type="paragraph" w:customStyle="1" w:styleId="11">
    <w:name w:val="列表段落1"/>
    <w:basedOn w:val="a"/>
    <w:uiPriority w:val="99"/>
    <w:qFormat/>
    <w:pPr>
      <w:ind w:firstLineChars="200" w:firstLine="420"/>
    </w:pPr>
  </w:style>
  <w:style w:type="character" w:customStyle="1" w:styleId="Char3">
    <w:name w:val="段 Char"/>
    <w:link w:val="ac"/>
    <w:qFormat/>
    <w:rPr>
      <w:rFonts w:ascii="宋体"/>
      <w:sz w:val="21"/>
    </w:rPr>
  </w:style>
  <w:style w:type="paragraph" w:customStyle="1" w:styleId="ac">
    <w:name w:val="段"/>
    <w:link w:val="Char3"/>
    <w:qFormat/>
    <w:pPr>
      <w:autoSpaceDE w:val="0"/>
      <w:autoSpaceDN w:val="0"/>
      <w:spacing w:after="160" w:line="278" w:lineRule="auto"/>
      <w:ind w:firstLineChars="200" w:firstLine="200"/>
      <w:jc w:val="both"/>
    </w:pPr>
    <w:rPr>
      <w:rFonts w:ascii="宋体"/>
      <w:sz w:val="21"/>
    </w:rPr>
  </w:style>
  <w:style w:type="paragraph" w:customStyle="1" w:styleId="ad">
    <w:name w:val="标准文件_段"/>
    <w:qFormat/>
    <w:pPr>
      <w:autoSpaceDE w:val="0"/>
      <w:autoSpaceDN w:val="0"/>
      <w:spacing w:after="160" w:line="278" w:lineRule="auto"/>
      <w:ind w:firstLineChars="200" w:firstLine="200"/>
      <w:jc w:val="both"/>
    </w:pPr>
    <w:rPr>
      <w:rFonts w:ascii="宋体"/>
      <w:sz w:val="21"/>
    </w:rPr>
  </w:style>
  <w:style w:type="paragraph" w:customStyle="1" w:styleId="12">
    <w:name w:val="修订1"/>
    <w:hidden/>
    <w:uiPriority w:val="99"/>
    <w:unhideWhenUsed/>
    <w:rPr>
      <w:kern w:val="2"/>
      <w:sz w:val="21"/>
      <w:szCs w:val="24"/>
    </w:rPr>
  </w:style>
  <w:style w:type="character" w:customStyle="1" w:styleId="Char">
    <w:name w:val="批注文字 Char"/>
    <w:basedOn w:val="a0"/>
    <w:link w:val="a3"/>
    <w:semiHidden/>
    <w:rPr>
      <w:kern w:val="2"/>
      <w:sz w:val="21"/>
      <w:szCs w:val="24"/>
    </w:rPr>
  </w:style>
  <w:style w:type="character" w:customStyle="1" w:styleId="Char2">
    <w:name w:val="批注主题 Char"/>
    <w:basedOn w:val="Char"/>
    <w:link w:val="a9"/>
    <w:semiHidden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564</Words>
  <Characters>3220</Characters>
  <Application>Microsoft Office Word</Application>
  <DocSecurity>0</DocSecurity>
  <Lines>26</Lines>
  <Paragraphs>7</Paragraphs>
  <ScaleCrop>false</ScaleCrop>
  <Company/>
  <LinksUpToDate>false</LinksUpToDate>
  <CharactersWithSpaces>3777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rcl</dc:creator>
  <cp:lastModifiedBy>Xieb</cp:lastModifiedBy>
  <cp:revision>14</cp:revision>
  <cp:lastPrinted>2009-02-12T03:39:00Z</cp:lastPrinted>
  <dcterms:created xsi:type="dcterms:W3CDTF">2024-07-13T03:16:00Z</dcterms:created>
  <dcterms:modified xsi:type="dcterms:W3CDTF">2026-06-26T01:48:00Z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2052-12.1.26016.26016</vt:lpwstr>
  </property>
  <property fmtid="{D5CDD505-2E9C-101B-9397-08002B2CF9AE}" pid="3" name="KSOTemplateDocerSaveRecord">
    <vt:lpwstr>eyJoZGlkIjoiYWM1NzAzMDQ2ZTE0MTM1NGRlYzQ5ZTA2Yzg0ZDNlZDUiLCJ1c2VySWQiOiIxNDk2ODA4NjUxIn0=</vt:lpwstr>
  </property>
  <property fmtid="{D5CDD505-2E9C-101B-9397-08002B2CF9AE}" pid="4" name="ICV">
    <vt:lpwstr>34CE90BE677F750E90C33C6A11F3E2DB_43</vt:lpwstr>
  </property>
</Properties>
</file>